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BA20D" w14:textId="258B7EDB" w:rsidR="00A94F58" w:rsidRPr="00A94F58" w:rsidRDefault="00ED2E8A" w:rsidP="00B8433C">
      <w:pPr>
        <w:widowControl w:val="0"/>
        <w:autoSpaceDE w:val="0"/>
        <w:autoSpaceDN w:val="0"/>
        <w:adjustRightInd w:val="0"/>
        <w:rPr>
          <w:rFonts w:ascii="Arial" w:hAnsi="Arial" w:cs="Arial"/>
          <w:b/>
          <w:bCs/>
          <w:sz w:val="32"/>
          <w:szCs w:val="32"/>
        </w:rPr>
      </w:pPr>
      <w:bookmarkStart w:id="0" w:name="_GoBack"/>
      <w:bookmarkEnd w:id="0"/>
      <w:r>
        <w:rPr>
          <w:rFonts w:ascii="Arial" w:hAnsi="Arial" w:cs="Arial"/>
          <w:b/>
          <w:bCs/>
          <w:sz w:val="32"/>
          <w:szCs w:val="32"/>
        </w:rPr>
        <w:t xml:space="preserve">Die </w:t>
      </w:r>
      <w:r w:rsidR="00465D69">
        <w:rPr>
          <w:rFonts w:ascii="Arial" w:hAnsi="Arial" w:cs="Arial"/>
          <w:b/>
          <w:bCs/>
          <w:sz w:val="32"/>
          <w:szCs w:val="32"/>
        </w:rPr>
        <w:t>Legitimität und Notwendigkeit</w:t>
      </w:r>
      <w:r>
        <w:rPr>
          <w:rFonts w:ascii="Arial" w:hAnsi="Arial" w:cs="Arial"/>
          <w:b/>
          <w:bCs/>
          <w:sz w:val="32"/>
          <w:szCs w:val="32"/>
        </w:rPr>
        <w:t xml:space="preserve"> </w:t>
      </w:r>
      <w:r w:rsidR="00460D82">
        <w:rPr>
          <w:rFonts w:ascii="Arial" w:hAnsi="Arial" w:cs="Arial"/>
          <w:b/>
          <w:bCs/>
          <w:sz w:val="32"/>
          <w:szCs w:val="32"/>
        </w:rPr>
        <w:t>der Erweite</w:t>
      </w:r>
      <w:r w:rsidR="00835BF2">
        <w:rPr>
          <w:rFonts w:ascii="Arial" w:hAnsi="Arial" w:cs="Arial"/>
          <w:b/>
          <w:bCs/>
          <w:sz w:val="32"/>
          <w:szCs w:val="32"/>
        </w:rPr>
        <w:t xml:space="preserve">rung der materiellen Gründe für die </w:t>
      </w:r>
      <w:r w:rsidR="00315DA1">
        <w:rPr>
          <w:rFonts w:ascii="Arial" w:hAnsi="Arial" w:cs="Arial"/>
          <w:b/>
          <w:bCs/>
          <w:sz w:val="32"/>
          <w:szCs w:val="32"/>
        </w:rPr>
        <w:t xml:space="preserve">Ungültigkeit von </w:t>
      </w:r>
      <w:proofErr w:type="spellStart"/>
      <w:r w:rsidR="00315DA1">
        <w:rPr>
          <w:rFonts w:ascii="Arial" w:hAnsi="Arial" w:cs="Arial"/>
          <w:b/>
          <w:bCs/>
          <w:sz w:val="32"/>
          <w:szCs w:val="32"/>
        </w:rPr>
        <w:t>eidg</w:t>
      </w:r>
      <w:proofErr w:type="spellEnd"/>
      <w:r w:rsidR="00315DA1">
        <w:rPr>
          <w:rFonts w:ascii="Arial" w:hAnsi="Arial" w:cs="Arial"/>
          <w:b/>
          <w:bCs/>
          <w:sz w:val="32"/>
          <w:szCs w:val="32"/>
        </w:rPr>
        <w:t>.</w:t>
      </w:r>
      <w:r w:rsidR="00460D82">
        <w:rPr>
          <w:rFonts w:ascii="Arial" w:hAnsi="Arial" w:cs="Arial"/>
          <w:b/>
          <w:bCs/>
          <w:sz w:val="32"/>
          <w:szCs w:val="32"/>
        </w:rPr>
        <w:t xml:space="preserve"> Volksinitiative</w:t>
      </w:r>
      <w:r w:rsidR="00DE1A68">
        <w:rPr>
          <w:rFonts w:ascii="Arial" w:hAnsi="Arial" w:cs="Arial"/>
          <w:b/>
          <w:bCs/>
          <w:sz w:val="32"/>
          <w:szCs w:val="32"/>
        </w:rPr>
        <w:t>n</w:t>
      </w:r>
      <w:r w:rsidR="00460D82">
        <w:rPr>
          <w:rFonts w:ascii="Arial" w:hAnsi="Arial" w:cs="Arial"/>
          <w:b/>
          <w:bCs/>
          <w:sz w:val="32"/>
          <w:szCs w:val="32"/>
        </w:rPr>
        <w:t xml:space="preserve"> auf </w:t>
      </w:r>
      <w:r w:rsidR="00345C03">
        <w:rPr>
          <w:rFonts w:ascii="Arial" w:hAnsi="Arial" w:cs="Arial"/>
          <w:b/>
          <w:bCs/>
          <w:sz w:val="32"/>
          <w:szCs w:val="32"/>
        </w:rPr>
        <w:t xml:space="preserve">Teilrevision der Bundesverfassung </w:t>
      </w:r>
    </w:p>
    <w:p w14:paraId="12E4CC67" w14:textId="77777777" w:rsidR="00A94F58" w:rsidRPr="00A94F58" w:rsidRDefault="00A94F58" w:rsidP="00B8433C">
      <w:pPr>
        <w:widowControl w:val="0"/>
        <w:autoSpaceDE w:val="0"/>
        <w:autoSpaceDN w:val="0"/>
        <w:adjustRightInd w:val="0"/>
        <w:rPr>
          <w:rFonts w:ascii="Arial" w:hAnsi="Arial" w:cs="Arial"/>
          <w:b/>
          <w:bCs/>
        </w:rPr>
      </w:pPr>
    </w:p>
    <w:p w14:paraId="6E8252AC" w14:textId="77777777" w:rsidR="00A94F58" w:rsidRDefault="00A94F58" w:rsidP="0004298E">
      <w:pPr>
        <w:widowControl w:val="0"/>
        <w:autoSpaceDE w:val="0"/>
        <w:autoSpaceDN w:val="0"/>
        <w:adjustRightInd w:val="0"/>
        <w:outlineLvl w:val="0"/>
        <w:rPr>
          <w:rFonts w:ascii="Arial" w:hAnsi="Arial" w:cs="Arial"/>
          <w:bCs/>
          <w:i/>
        </w:rPr>
      </w:pPr>
      <w:r>
        <w:rPr>
          <w:rFonts w:ascii="Arial" w:hAnsi="Arial" w:cs="Arial"/>
          <w:bCs/>
          <w:i/>
        </w:rPr>
        <w:t>G</w:t>
      </w:r>
      <w:r w:rsidRPr="00A94F58">
        <w:rPr>
          <w:rFonts w:ascii="Arial" w:hAnsi="Arial" w:cs="Arial"/>
          <w:bCs/>
          <w:i/>
        </w:rPr>
        <w:t>iusep Nay</w:t>
      </w:r>
    </w:p>
    <w:p w14:paraId="18AA86B9" w14:textId="77777777" w:rsidR="00345C03" w:rsidRDefault="00345C03" w:rsidP="00B8433C">
      <w:pPr>
        <w:widowControl w:val="0"/>
        <w:autoSpaceDE w:val="0"/>
        <w:autoSpaceDN w:val="0"/>
        <w:adjustRightInd w:val="0"/>
        <w:rPr>
          <w:rFonts w:ascii="Arial" w:hAnsi="Arial" w:cs="Arial"/>
          <w:bCs/>
          <w:i/>
        </w:rPr>
      </w:pPr>
    </w:p>
    <w:p w14:paraId="3F77358F" w14:textId="77595FAC" w:rsidR="00FB3400" w:rsidRPr="00AE7743" w:rsidRDefault="00742DE7" w:rsidP="00B8433C">
      <w:pPr>
        <w:widowControl w:val="0"/>
        <w:autoSpaceDE w:val="0"/>
        <w:autoSpaceDN w:val="0"/>
        <w:adjustRightInd w:val="0"/>
        <w:rPr>
          <w:rFonts w:ascii="Arial" w:hAnsi="Arial" w:cs="Arial"/>
          <w:bCs/>
          <w:i/>
          <w:sz w:val="20"/>
          <w:szCs w:val="20"/>
        </w:rPr>
      </w:pPr>
      <w:r w:rsidRPr="00AE7743">
        <w:rPr>
          <w:rFonts w:ascii="Arial" w:hAnsi="Arial" w:cs="Arial"/>
          <w:bCs/>
          <w:i/>
          <w:sz w:val="20"/>
          <w:szCs w:val="20"/>
        </w:rPr>
        <w:t>Inhalt</w:t>
      </w:r>
    </w:p>
    <w:p w14:paraId="5B4E8F61" w14:textId="77777777" w:rsidR="00FB3400" w:rsidRPr="00AE7743" w:rsidRDefault="00FB3400" w:rsidP="00B8433C">
      <w:pPr>
        <w:widowControl w:val="0"/>
        <w:autoSpaceDE w:val="0"/>
        <w:autoSpaceDN w:val="0"/>
        <w:adjustRightInd w:val="0"/>
        <w:rPr>
          <w:rFonts w:ascii="Arial" w:hAnsi="Arial" w:cs="Arial"/>
          <w:bCs/>
          <w:i/>
          <w:sz w:val="20"/>
          <w:szCs w:val="20"/>
        </w:rPr>
      </w:pPr>
    </w:p>
    <w:p w14:paraId="6A657BDA" w14:textId="2F21B308" w:rsidR="00FB3400" w:rsidRPr="00615BCB" w:rsidRDefault="00615BCB" w:rsidP="00615BCB">
      <w:pPr>
        <w:widowControl w:val="0"/>
        <w:autoSpaceDE w:val="0"/>
        <w:autoSpaceDN w:val="0"/>
        <w:adjustRightInd w:val="0"/>
        <w:rPr>
          <w:rFonts w:ascii="Arial" w:hAnsi="Arial" w:cs="Arial"/>
          <w:bCs/>
          <w:i/>
          <w:sz w:val="20"/>
          <w:szCs w:val="20"/>
        </w:rPr>
      </w:pPr>
      <w:r w:rsidRPr="00615BCB">
        <w:rPr>
          <w:rFonts w:ascii="Arial" w:hAnsi="Arial" w:cs="Arial"/>
          <w:bCs/>
          <w:i/>
          <w:sz w:val="20"/>
          <w:szCs w:val="20"/>
        </w:rPr>
        <w:t>1.</w:t>
      </w:r>
      <w:r>
        <w:rPr>
          <w:rFonts w:ascii="Arial" w:hAnsi="Arial" w:cs="Arial"/>
          <w:bCs/>
          <w:i/>
          <w:sz w:val="20"/>
          <w:szCs w:val="20"/>
        </w:rPr>
        <w:t xml:space="preserve"> </w:t>
      </w:r>
      <w:r w:rsidR="00FB3400" w:rsidRPr="00615BCB">
        <w:rPr>
          <w:rFonts w:ascii="Arial" w:hAnsi="Arial" w:cs="Arial"/>
          <w:bCs/>
          <w:i/>
          <w:sz w:val="20"/>
          <w:szCs w:val="20"/>
        </w:rPr>
        <w:t>Einleitung</w:t>
      </w:r>
    </w:p>
    <w:p w14:paraId="20C86597" w14:textId="72A2EF56" w:rsidR="00615BCB" w:rsidRDefault="00615BCB" w:rsidP="00615BCB">
      <w:pPr>
        <w:rPr>
          <w:rFonts w:ascii="Arial" w:hAnsi="Arial" w:cs="Arial"/>
          <w:sz w:val="20"/>
          <w:szCs w:val="20"/>
        </w:rPr>
      </w:pPr>
      <w:r>
        <w:rPr>
          <w:rFonts w:ascii="Arial" w:hAnsi="Arial" w:cs="Arial"/>
          <w:sz w:val="20"/>
          <w:szCs w:val="20"/>
        </w:rPr>
        <w:t>1.1. Stand der parlamentarischen Beratungen</w:t>
      </w:r>
    </w:p>
    <w:p w14:paraId="3ADE0642" w14:textId="6FC49C84" w:rsidR="00615BCB" w:rsidRPr="00615BCB" w:rsidRDefault="00615BCB" w:rsidP="00615BCB">
      <w:pPr>
        <w:rPr>
          <w:rFonts w:ascii="Arial" w:hAnsi="Arial" w:cs="Arial"/>
          <w:sz w:val="20"/>
          <w:szCs w:val="20"/>
        </w:rPr>
      </w:pPr>
      <w:r>
        <w:rPr>
          <w:rFonts w:ascii="Arial" w:hAnsi="Arial" w:cs="Arial"/>
          <w:sz w:val="20"/>
          <w:szCs w:val="20"/>
        </w:rPr>
        <w:t>1.2. Handlungsbedarf zu Unrecht verneint</w:t>
      </w:r>
    </w:p>
    <w:p w14:paraId="71C427A2" w14:textId="77777777" w:rsidR="00AE7743" w:rsidRPr="00AE7743" w:rsidRDefault="00AE7743" w:rsidP="00AE7743"/>
    <w:p w14:paraId="26504E95" w14:textId="77777777" w:rsidR="00FB3400" w:rsidRPr="00AE7743" w:rsidRDefault="00FB3400" w:rsidP="00FB3400">
      <w:pPr>
        <w:widowControl w:val="0"/>
        <w:autoSpaceDE w:val="0"/>
        <w:autoSpaceDN w:val="0"/>
        <w:adjustRightInd w:val="0"/>
        <w:outlineLvl w:val="0"/>
        <w:rPr>
          <w:rFonts w:ascii="Arial" w:hAnsi="Arial" w:cs="Arial"/>
          <w:bCs/>
          <w:i/>
          <w:sz w:val="20"/>
          <w:szCs w:val="20"/>
          <w:lang w:val="de-CH"/>
        </w:rPr>
      </w:pPr>
      <w:r w:rsidRPr="00AE7743">
        <w:rPr>
          <w:rFonts w:ascii="Arial" w:hAnsi="Arial" w:cs="Arial"/>
          <w:bCs/>
          <w:i/>
          <w:sz w:val="20"/>
          <w:szCs w:val="20"/>
          <w:lang w:val="de-CH"/>
        </w:rPr>
        <w:t>2. Die geltenden materiellen Ungültigkeitsgründe</w:t>
      </w:r>
    </w:p>
    <w:p w14:paraId="71E36F80" w14:textId="77777777" w:rsidR="00FB3400" w:rsidRPr="00AE7743" w:rsidRDefault="00FB3400" w:rsidP="00FB3400">
      <w:pPr>
        <w:widowControl w:val="0"/>
        <w:autoSpaceDE w:val="0"/>
        <w:autoSpaceDN w:val="0"/>
        <w:adjustRightInd w:val="0"/>
        <w:outlineLvl w:val="0"/>
        <w:rPr>
          <w:rFonts w:ascii="Arial" w:hAnsi="Arial" w:cs="Arial"/>
          <w:bCs/>
          <w:i/>
          <w:sz w:val="20"/>
          <w:szCs w:val="20"/>
          <w:lang w:val="de-CH"/>
        </w:rPr>
      </w:pPr>
      <w:r w:rsidRPr="00AE7743">
        <w:rPr>
          <w:rFonts w:ascii="Arial" w:hAnsi="Arial" w:cs="Arial"/>
          <w:bCs/>
          <w:i/>
          <w:sz w:val="20"/>
          <w:szCs w:val="20"/>
          <w:lang w:val="de-CH"/>
        </w:rPr>
        <w:t xml:space="preserve">2.1. Zwingendes Völkerrecht </w:t>
      </w:r>
    </w:p>
    <w:p w14:paraId="3D397A19" w14:textId="77777777" w:rsidR="00FB3400" w:rsidRPr="00AE7743" w:rsidRDefault="00FB3400" w:rsidP="00FB3400">
      <w:pPr>
        <w:widowControl w:val="0"/>
        <w:autoSpaceDE w:val="0"/>
        <w:autoSpaceDN w:val="0"/>
        <w:adjustRightInd w:val="0"/>
        <w:outlineLvl w:val="0"/>
        <w:rPr>
          <w:rFonts w:ascii="Arial" w:hAnsi="Arial" w:cs="Arial"/>
          <w:bCs/>
          <w:i/>
          <w:sz w:val="20"/>
          <w:szCs w:val="20"/>
          <w:lang w:val="de-CH"/>
        </w:rPr>
      </w:pPr>
      <w:r w:rsidRPr="00AE7743">
        <w:rPr>
          <w:rFonts w:ascii="Arial" w:hAnsi="Arial" w:cs="Arial"/>
          <w:bCs/>
          <w:i/>
          <w:sz w:val="20"/>
          <w:szCs w:val="20"/>
          <w:lang w:val="de-CH"/>
        </w:rPr>
        <w:t>2.1.1. Ursprüngliche Absicht</w:t>
      </w:r>
    </w:p>
    <w:p w14:paraId="610DE53A" w14:textId="77777777" w:rsidR="00FB3400" w:rsidRPr="00AE7743" w:rsidRDefault="00FB3400" w:rsidP="00FB3400">
      <w:pPr>
        <w:widowControl w:val="0"/>
        <w:autoSpaceDE w:val="0"/>
        <w:autoSpaceDN w:val="0"/>
        <w:adjustRightInd w:val="0"/>
        <w:outlineLvl w:val="0"/>
        <w:rPr>
          <w:rFonts w:ascii="Arial" w:hAnsi="Arial" w:cs="Arial"/>
          <w:bCs/>
          <w:i/>
          <w:sz w:val="20"/>
          <w:szCs w:val="20"/>
        </w:rPr>
      </w:pPr>
      <w:r w:rsidRPr="00AE7743">
        <w:rPr>
          <w:rFonts w:ascii="Arial" w:hAnsi="Arial" w:cs="Arial"/>
          <w:bCs/>
          <w:i/>
          <w:sz w:val="20"/>
          <w:szCs w:val="20"/>
        </w:rPr>
        <w:t>2.1.2. Tatsächliche Praxis</w:t>
      </w:r>
    </w:p>
    <w:p w14:paraId="6D1FBB3C" w14:textId="77777777" w:rsidR="00FB3400" w:rsidRDefault="00FB3400" w:rsidP="00FB3400">
      <w:pPr>
        <w:widowControl w:val="0"/>
        <w:autoSpaceDE w:val="0"/>
        <w:autoSpaceDN w:val="0"/>
        <w:adjustRightInd w:val="0"/>
        <w:outlineLvl w:val="0"/>
        <w:rPr>
          <w:rFonts w:ascii="Arial" w:hAnsi="Arial" w:cs="Arial"/>
          <w:bCs/>
          <w:i/>
          <w:sz w:val="20"/>
          <w:szCs w:val="20"/>
        </w:rPr>
      </w:pPr>
      <w:r w:rsidRPr="00AE7743">
        <w:rPr>
          <w:rFonts w:ascii="Arial" w:hAnsi="Arial" w:cs="Arial"/>
          <w:bCs/>
          <w:i/>
          <w:sz w:val="20"/>
          <w:szCs w:val="20"/>
        </w:rPr>
        <w:t>2.2. Undurchführbarkeit</w:t>
      </w:r>
    </w:p>
    <w:p w14:paraId="0E5FFC86" w14:textId="77777777" w:rsidR="00AE7743" w:rsidRPr="00AE7743" w:rsidRDefault="00AE7743" w:rsidP="00FB3400">
      <w:pPr>
        <w:widowControl w:val="0"/>
        <w:autoSpaceDE w:val="0"/>
        <w:autoSpaceDN w:val="0"/>
        <w:adjustRightInd w:val="0"/>
        <w:outlineLvl w:val="0"/>
        <w:rPr>
          <w:rFonts w:ascii="Arial" w:hAnsi="Arial" w:cs="Arial"/>
          <w:bCs/>
          <w:i/>
          <w:sz w:val="20"/>
          <w:szCs w:val="20"/>
        </w:rPr>
      </w:pPr>
    </w:p>
    <w:p w14:paraId="755ECC7A" w14:textId="77777777" w:rsidR="00FB3400" w:rsidRDefault="00FB3400" w:rsidP="00FB3400">
      <w:pPr>
        <w:widowControl w:val="0"/>
        <w:autoSpaceDE w:val="0"/>
        <w:autoSpaceDN w:val="0"/>
        <w:adjustRightInd w:val="0"/>
        <w:outlineLvl w:val="0"/>
        <w:rPr>
          <w:rFonts w:ascii="Arial" w:hAnsi="Arial" w:cs="Arial"/>
          <w:bCs/>
          <w:i/>
          <w:sz w:val="20"/>
          <w:szCs w:val="20"/>
        </w:rPr>
      </w:pPr>
      <w:r w:rsidRPr="00AE7743">
        <w:rPr>
          <w:rFonts w:ascii="Arial" w:hAnsi="Arial" w:cs="Arial"/>
          <w:bCs/>
          <w:i/>
          <w:sz w:val="20"/>
          <w:szCs w:val="20"/>
        </w:rPr>
        <w:t>3. Unhaltbare Abweichung von der ursprünglichen Absicht des Verfassungsgebers</w:t>
      </w:r>
    </w:p>
    <w:p w14:paraId="13675D4D" w14:textId="77777777" w:rsidR="00AE7743" w:rsidRPr="00AE7743" w:rsidRDefault="00AE7743" w:rsidP="00FB3400">
      <w:pPr>
        <w:widowControl w:val="0"/>
        <w:autoSpaceDE w:val="0"/>
        <w:autoSpaceDN w:val="0"/>
        <w:adjustRightInd w:val="0"/>
        <w:outlineLvl w:val="0"/>
        <w:rPr>
          <w:rFonts w:ascii="Arial" w:hAnsi="Arial" w:cs="Arial"/>
          <w:bCs/>
          <w:i/>
          <w:sz w:val="20"/>
          <w:szCs w:val="20"/>
        </w:rPr>
      </w:pPr>
    </w:p>
    <w:p w14:paraId="50D762E0" w14:textId="77777777" w:rsidR="00FB3400" w:rsidRPr="00AE7743" w:rsidRDefault="00FB3400" w:rsidP="00FB3400">
      <w:pPr>
        <w:widowControl w:val="0"/>
        <w:autoSpaceDE w:val="0"/>
        <w:autoSpaceDN w:val="0"/>
        <w:adjustRightInd w:val="0"/>
        <w:rPr>
          <w:rFonts w:ascii="Arial" w:hAnsi="Arial" w:cs="Arial"/>
          <w:bCs/>
          <w:i/>
          <w:sz w:val="20"/>
          <w:szCs w:val="20"/>
        </w:rPr>
      </w:pPr>
      <w:r w:rsidRPr="00AE7743">
        <w:rPr>
          <w:rFonts w:ascii="Arial" w:hAnsi="Arial" w:cs="Arial"/>
          <w:bCs/>
          <w:i/>
          <w:sz w:val="20"/>
          <w:szCs w:val="20"/>
        </w:rPr>
        <w:t>4. Handlungsbedarf zur Wahrung echter Demokratie</w:t>
      </w:r>
    </w:p>
    <w:p w14:paraId="71F8FD45" w14:textId="77777777" w:rsidR="00FB3400" w:rsidRPr="00AE7743" w:rsidRDefault="00FB3400" w:rsidP="00FB3400">
      <w:pPr>
        <w:widowControl w:val="0"/>
        <w:autoSpaceDE w:val="0"/>
        <w:autoSpaceDN w:val="0"/>
        <w:adjustRightInd w:val="0"/>
        <w:rPr>
          <w:rFonts w:ascii="Arial" w:hAnsi="Arial" w:cs="Arial"/>
          <w:bCs/>
          <w:i/>
          <w:sz w:val="20"/>
          <w:szCs w:val="20"/>
          <w:lang w:val="de-CH"/>
        </w:rPr>
      </w:pPr>
      <w:r w:rsidRPr="00AE7743">
        <w:rPr>
          <w:rFonts w:ascii="Arial" w:hAnsi="Arial" w:cs="Arial"/>
          <w:bCs/>
          <w:i/>
          <w:sz w:val="20"/>
          <w:szCs w:val="20"/>
          <w:lang w:val="de-CH"/>
        </w:rPr>
        <w:t>4.1. Die Untrennbarkeit von Demokratie und Menschenrechten</w:t>
      </w:r>
    </w:p>
    <w:p w14:paraId="78192E5C" w14:textId="77777777" w:rsidR="00FB3400" w:rsidRDefault="00FB3400" w:rsidP="00FB3400">
      <w:pPr>
        <w:widowControl w:val="0"/>
        <w:autoSpaceDE w:val="0"/>
        <w:autoSpaceDN w:val="0"/>
        <w:adjustRightInd w:val="0"/>
        <w:rPr>
          <w:rFonts w:ascii="Arial" w:hAnsi="Arial" w:cs="Arial"/>
          <w:bCs/>
          <w:i/>
          <w:sz w:val="20"/>
          <w:szCs w:val="20"/>
        </w:rPr>
      </w:pPr>
      <w:r w:rsidRPr="00AE7743">
        <w:rPr>
          <w:rFonts w:ascii="Arial" w:hAnsi="Arial" w:cs="Arial"/>
          <w:bCs/>
          <w:i/>
          <w:sz w:val="20"/>
          <w:szCs w:val="20"/>
        </w:rPr>
        <w:t>4.2. Ungültigkeitsgründe als der Demokratie inhärente Selbstbeschränkung legitim und notwendig</w:t>
      </w:r>
    </w:p>
    <w:p w14:paraId="7F73046C" w14:textId="77777777" w:rsidR="00AE7743" w:rsidRPr="00AE7743" w:rsidRDefault="00AE7743" w:rsidP="00FB3400">
      <w:pPr>
        <w:widowControl w:val="0"/>
        <w:autoSpaceDE w:val="0"/>
        <w:autoSpaceDN w:val="0"/>
        <w:adjustRightInd w:val="0"/>
        <w:rPr>
          <w:rFonts w:ascii="Arial" w:hAnsi="Arial" w:cs="Arial"/>
          <w:bCs/>
          <w:i/>
          <w:sz w:val="20"/>
          <w:szCs w:val="20"/>
        </w:rPr>
      </w:pPr>
    </w:p>
    <w:p w14:paraId="791467A5" w14:textId="77777777" w:rsidR="00FB3400" w:rsidRDefault="00FB3400" w:rsidP="00FB3400">
      <w:pPr>
        <w:widowControl w:val="0"/>
        <w:autoSpaceDE w:val="0"/>
        <w:autoSpaceDN w:val="0"/>
        <w:adjustRightInd w:val="0"/>
        <w:rPr>
          <w:rFonts w:ascii="Arial" w:hAnsi="Arial" w:cs="Arial"/>
          <w:bCs/>
          <w:i/>
          <w:sz w:val="20"/>
          <w:szCs w:val="20"/>
        </w:rPr>
      </w:pPr>
      <w:r w:rsidRPr="00AE7743">
        <w:rPr>
          <w:rFonts w:ascii="Arial" w:hAnsi="Arial" w:cs="Arial"/>
          <w:bCs/>
          <w:i/>
          <w:sz w:val="20"/>
          <w:szCs w:val="20"/>
        </w:rPr>
        <w:t>5. Geltende Regelung und Praxis wahrt echte Demokratie nicht</w:t>
      </w:r>
    </w:p>
    <w:p w14:paraId="7A7D9EF0" w14:textId="77777777" w:rsidR="00AE7743" w:rsidRPr="00AE7743" w:rsidRDefault="00AE7743" w:rsidP="00FB3400">
      <w:pPr>
        <w:widowControl w:val="0"/>
        <w:autoSpaceDE w:val="0"/>
        <w:autoSpaceDN w:val="0"/>
        <w:adjustRightInd w:val="0"/>
        <w:rPr>
          <w:rFonts w:ascii="Arial" w:hAnsi="Arial" w:cs="Arial"/>
          <w:bCs/>
          <w:i/>
          <w:sz w:val="20"/>
          <w:szCs w:val="20"/>
        </w:rPr>
      </w:pPr>
    </w:p>
    <w:p w14:paraId="1ED91842" w14:textId="77777777" w:rsidR="00FB3400" w:rsidRPr="00AE7743" w:rsidRDefault="00FB3400" w:rsidP="00FB3400">
      <w:pPr>
        <w:widowControl w:val="0"/>
        <w:autoSpaceDE w:val="0"/>
        <w:autoSpaceDN w:val="0"/>
        <w:adjustRightInd w:val="0"/>
        <w:rPr>
          <w:rFonts w:ascii="Arial" w:hAnsi="Arial" w:cs="Arial"/>
          <w:bCs/>
          <w:i/>
          <w:sz w:val="20"/>
          <w:szCs w:val="20"/>
        </w:rPr>
      </w:pPr>
      <w:r w:rsidRPr="00AE7743">
        <w:rPr>
          <w:rFonts w:ascii="Arial" w:hAnsi="Arial" w:cs="Arial"/>
          <w:bCs/>
          <w:i/>
          <w:sz w:val="20"/>
          <w:szCs w:val="20"/>
        </w:rPr>
        <w:t xml:space="preserve">6. Erweiterung der Ungültigkeitsgründe in Verbindung mit dem </w:t>
      </w:r>
      <w:proofErr w:type="spellStart"/>
      <w:r w:rsidRPr="00AE7743">
        <w:rPr>
          <w:rFonts w:ascii="Arial" w:hAnsi="Arial" w:cs="Arial"/>
          <w:bCs/>
          <w:i/>
          <w:sz w:val="20"/>
          <w:szCs w:val="20"/>
        </w:rPr>
        <w:t>verfassungsmässigen</w:t>
      </w:r>
      <w:proofErr w:type="spellEnd"/>
      <w:r w:rsidRPr="00AE7743">
        <w:rPr>
          <w:rFonts w:ascii="Arial" w:hAnsi="Arial" w:cs="Arial"/>
          <w:bCs/>
          <w:i/>
          <w:sz w:val="20"/>
          <w:szCs w:val="20"/>
        </w:rPr>
        <w:t xml:space="preserve"> Schutz der politischen Rechte als Lösung</w:t>
      </w:r>
    </w:p>
    <w:p w14:paraId="33A04447" w14:textId="77777777" w:rsidR="00973230" w:rsidRPr="00AE7743" w:rsidRDefault="00973230" w:rsidP="00973230">
      <w:pPr>
        <w:widowControl w:val="0"/>
        <w:autoSpaceDE w:val="0"/>
        <w:autoSpaceDN w:val="0"/>
        <w:adjustRightInd w:val="0"/>
        <w:rPr>
          <w:rFonts w:ascii="Arial" w:hAnsi="Arial" w:cs="Arial"/>
          <w:bCs/>
          <w:i/>
          <w:sz w:val="20"/>
          <w:szCs w:val="20"/>
        </w:rPr>
      </w:pPr>
      <w:r w:rsidRPr="00AE7743">
        <w:rPr>
          <w:rFonts w:ascii="Arial" w:hAnsi="Arial" w:cs="Arial"/>
          <w:bCs/>
          <w:i/>
          <w:sz w:val="20"/>
          <w:szCs w:val="20"/>
        </w:rPr>
        <w:t xml:space="preserve">6.1. Nichtumsetzbarkeit wegen </w:t>
      </w:r>
      <w:proofErr w:type="spellStart"/>
      <w:r w:rsidRPr="00AE7743">
        <w:rPr>
          <w:rFonts w:ascii="Arial" w:hAnsi="Arial" w:cs="Arial"/>
          <w:bCs/>
          <w:i/>
          <w:sz w:val="20"/>
          <w:szCs w:val="20"/>
        </w:rPr>
        <w:t>Verstosses</w:t>
      </w:r>
      <w:proofErr w:type="spellEnd"/>
      <w:r w:rsidRPr="00AE7743">
        <w:rPr>
          <w:rFonts w:ascii="Arial" w:hAnsi="Arial" w:cs="Arial"/>
          <w:bCs/>
          <w:i/>
          <w:sz w:val="20"/>
          <w:szCs w:val="20"/>
        </w:rPr>
        <w:t xml:space="preserve"> gegen höherrangiges Recht als Verletzung der unverfälschten Stimmabgabe </w:t>
      </w:r>
    </w:p>
    <w:p w14:paraId="26681F5A" w14:textId="77777777" w:rsidR="00973230" w:rsidRPr="00AE7743" w:rsidRDefault="00973230" w:rsidP="00973230">
      <w:pPr>
        <w:widowControl w:val="0"/>
        <w:autoSpaceDE w:val="0"/>
        <w:autoSpaceDN w:val="0"/>
        <w:adjustRightInd w:val="0"/>
        <w:rPr>
          <w:rFonts w:ascii="Arial" w:hAnsi="Arial" w:cs="Arial"/>
          <w:bCs/>
          <w:i/>
          <w:sz w:val="20"/>
          <w:szCs w:val="20"/>
        </w:rPr>
      </w:pPr>
      <w:r w:rsidRPr="00AE7743">
        <w:rPr>
          <w:rFonts w:ascii="Arial" w:hAnsi="Arial" w:cs="Arial"/>
          <w:bCs/>
          <w:i/>
          <w:sz w:val="20"/>
          <w:szCs w:val="20"/>
        </w:rPr>
        <w:t>6.2. Vorrang der Grund- und Menschenrechte auch gegenüber einer partikularen Verfassungsbestimmung</w:t>
      </w:r>
    </w:p>
    <w:p w14:paraId="03878515" w14:textId="2ACAB823" w:rsidR="00973230" w:rsidRPr="00AE7743" w:rsidRDefault="00973230" w:rsidP="00973230">
      <w:pPr>
        <w:widowControl w:val="0"/>
        <w:autoSpaceDE w:val="0"/>
        <w:autoSpaceDN w:val="0"/>
        <w:adjustRightInd w:val="0"/>
        <w:rPr>
          <w:rFonts w:ascii="Arial" w:hAnsi="Arial" w:cs="Arial"/>
          <w:bCs/>
          <w:i/>
          <w:sz w:val="20"/>
          <w:szCs w:val="20"/>
        </w:rPr>
      </w:pPr>
      <w:r w:rsidRPr="00AE7743">
        <w:rPr>
          <w:rFonts w:ascii="Arial" w:hAnsi="Arial" w:cs="Arial"/>
          <w:bCs/>
          <w:i/>
          <w:sz w:val="20"/>
          <w:szCs w:val="20"/>
        </w:rPr>
        <w:t xml:space="preserve">6.3. Das „zwingende Völkerrecht“ als Ungültigkeitsgrund </w:t>
      </w:r>
      <w:proofErr w:type="spellStart"/>
      <w:r w:rsidRPr="00AE7743">
        <w:rPr>
          <w:rFonts w:ascii="Arial" w:hAnsi="Arial" w:cs="Arial"/>
          <w:bCs/>
          <w:i/>
          <w:sz w:val="20"/>
          <w:szCs w:val="20"/>
        </w:rPr>
        <w:t>gemäss</w:t>
      </w:r>
      <w:proofErr w:type="spellEnd"/>
      <w:r w:rsidRPr="00AE7743">
        <w:rPr>
          <w:rFonts w:ascii="Arial" w:hAnsi="Arial" w:cs="Arial"/>
          <w:bCs/>
          <w:i/>
          <w:sz w:val="20"/>
          <w:szCs w:val="20"/>
        </w:rPr>
        <w:t xml:space="preserve"> seinem ursprünglichen Sinn</w:t>
      </w:r>
      <w:r w:rsidR="0073726E" w:rsidRPr="00AE7743">
        <w:rPr>
          <w:rFonts w:ascii="Arial" w:hAnsi="Arial" w:cs="Arial"/>
          <w:bCs/>
          <w:i/>
          <w:sz w:val="20"/>
          <w:szCs w:val="20"/>
        </w:rPr>
        <w:t xml:space="preserve"> de </w:t>
      </w:r>
      <w:proofErr w:type="spellStart"/>
      <w:r w:rsidR="0073726E" w:rsidRPr="00AE7743">
        <w:rPr>
          <w:rFonts w:ascii="Arial" w:hAnsi="Arial" w:cs="Arial"/>
          <w:bCs/>
          <w:i/>
          <w:sz w:val="20"/>
          <w:szCs w:val="20"/>
        </w:rPr>
        <w:t>constitutione</w:t>
      </w:r>
      <w:proofErr w:type="spellEnd"/>
      <w:r w:rsidR="0073726E" w:rsidRPr="00AE7743">
        <w:rPr>
          <w:rFonts w:ascii="Arial" w:hAnsi="Arial" w:cs="Arial"/>
          <w:bCs/>
          <w:i/>
          <w:sz w:val="20"/>
          <w:szCs w:val="20"/>
        </w:rPr>
        <w:t xml:space="preserve"> </w:t>
      </w:r>
      <w:proofErr w:type="spellStart"/>
      <w:r w:rsidR="0073726E" w:rsidRPr="00AE7743">
        <w:rPr>
          <w:rFonts w:ascii="Arial" w:hAnsi="Arial" w:cs="Arial"/>
          <w:bCs/>
          <w:i/>
          <w:sz w:val="20"/>
          <w:szCs w:val="20"/>
        </w:rPr>
        <w:t>lata</w:t>
      </w:r>
      <w:proofErr w:type="spellEnd"/>
    </w:p>
    <w:p w14:paraId="3E06ECCF" w14:textId="4061343C" w:rsidR="0073726E" w:rsidRPr="00AE7743" w:rsidRDefault="00973230" w:rsidP="00973230">
      <w:pPr>
        <w:widowControl w:val="0"/>
        <w:autoSpaceDE w:val="0"/>
        <w:autoSpaceDN w:val="0"/>
        <w:adjustRightInd w:val="0"/>
        <w:rPr>
          <w:rFonts w:ascii="Arial" w:hAnsi="Arial" w:cs="Arial"/>
          <w:bCs/>
          <w:i/>
          <w:sz w:val="20"/>
          <w:szCs w:val="20"/>
        </w:rPr>
      </w:pPr>
      <w:r w:rsidRPr="00AE7743">
        <w:rPr>
          <w:rFonts w:ascii="Arial" w:hAnsi="Arial" w:cs="Arial"/>
          <w:bCs/>
          <w:i/>
          <w:sz w:val="20"/>
          <w:szCs w:val="20"/>
        </w:rPr>
        <w:t xml:space="preserve">6.4. Nichtumsetzbarkeit wegen </w:t>
      </w:r>
      <w:proofErr w:type="spellStart"/>
      <w:r w:rsidRPr="00AE7743">
        <w:rPr>
          <w:rFonts w:ascii="Arial" w:hAnsi="Arial" w:cs="Arial"/>
          <w:bCs/>
          <w:i/>
          <w:sz w:val="20"/>
          <w:szCs w:val="20"/>
        </w:rPr>
        <w:t>Verstosses</w:t>
      </w:r>
      <w:proofErr w:type="spellEnd"/>
      <w:r w:rsidRPr="00AE7743">
        <w:rPr>
          <w:rFonts w:ascii="Arial" w:hAnsi="Arial" w:cs="Arial"/>
          <w:bCs/>
          <w:i/>
          <w:sz w:val="20"/>
          <w:szCs w:val="20"/>
        </w:rPr>
        <w:t xml:space="preserve"> gegen vorrangiges Recht auf Bundesebene als zusätzlichen Ungültigkeitsgrund</w:t>
      </w:r>
      <w:r w:rsidR="0073726E" w:rsidRPr="00AE7743">
        <w:rPr>
          <w:rFonts w:ascii="Arial" w:hAnsi="Arial" w:cs="Arial"/>
          <w:bCs/>
          <w:i/>
          <w:sz w:val="20"/>
          <w:szCs w:val="20"/>
        </w:rPr>
        <w:t xml:space="preserve"> de </w:t>
      </w:r>
      <w:proofErr w:type="spellStart"/>
      <w:r w:rsidR="0073726E" w:rsidRPr="00AE7743">
        <w:rPr>
          <w:rFonts w:ascii="Arial" w:hAnsi="Arial" w:cs="Arial"/>
          <w:bCs/>
          <w:i/>
          <w:sz w:val="20"/>
          <w:szCs w:val="20"/>
        </w:rPr>
        <w:t>constitutione</w:t>
      </w:r>
      <w:proofErr w:type="spellEnd"/>
      <w:r w:rsidR="0073726E" w:rsidRPr="00AE7743">
        <w:rPr>
          <w:rFonts w:ascii="Arial" w:hAnsi="Arial" w:cs="Arial"/>
          <w:bCs/>
          <w:i/>
          <w:sz w:val="20"/>
          <w:szCs w:val="20"/>
        </w:rPr>
        <w:t xml:space="preserve"> ferenda</w:t>
      </w:r>
    </w:p>
    <w:p w14:paraId="69BC67B8" w14:textId="77777777" w:rsidR="00FB3400" w:rsidRPr="00AE7743" w:rsidRDefault="00FB3400" w:rsidP="00FB3400">
      <w:pPr>
        <w:widowControl w:val="0"/>
        <w:autoSpaceDE w:val="0"/>
        <w:autoSpaceDN w:val="0"/>
        <w:adjustRightInd w:val="0"/>
        <w:rPr>
          <w:rFonts w:ascii="Arial" w:hAnsi="Arial" w:cs="Arial"/>
          <w:bCs/>
          <w:i/>
          <w:sz w:val="20"/>
          <w:szCs w:val="20"/>
        </w:rPr>
      </w:pPr>
      <w:r w:rsidRPr="00AE7743">
        <w:rPr>
          <w:rFonts w:ascii="Arial" w:hAnsi="Arial" w:cs="Arial"/>
          <w:bCs/>
          <w:i/>
          <w:sz w:val="20"/>
          <w:szCs w:val="20"/>
        </w:rPr>
        <w:t xml:space="preserve">6.5. Einschränkung der </w:t>
      </w:r>
      <w:proofErr w:type="spellStart"/>
      <w:r w:rsidRPr="00AE7743">
        <w:rPr>
          <w:rFonts w:ascii="Arial" w:hAnsi="Arial" w:cs="Arial"/>
          <w:bCs/>
          <w:i/>
          <w:sz w:val="20"/>
          <w:szCs w:val="20"/>
        </w:rPr>
        <w:t>Ungültigerklärung</w:t>
      </w:r>
      <w:proofErr w:type="spellEnd"/>
      <w:r w:rsidRPr="00AE7743">
        <w:rPr>
          <w:rFonts w:ascii="Arial" w:hAnsi="Arial" w:cs="Arial"/>
          <w:bCs/>
          <w:i/>
          <w:sz w:val="20"/>
          <w:szCs w:val="20"/>
        </w:rPr>
        <w:t xml:space="preserve"> auf das Notwendigste zur Wahrung der politischen Rechte </w:t>
      </w:r>
    </w:p>
    <w:p w14:paraId="7BE3E145" w14:textId="77777777" w:rsidR="00FB3400" w:rsidRPr="00AE7743" w:rsidRDefault="00FB3400" w:rsidP="00FB3400">
      <w:pPr>
        <w:widowControl w:val="0"/>
        <w:autoSpaceDE w:val="0"/>
        <w:autoSpaceDN w:val="0"/>
        <w:adjustRightInd w:val="0"/>
        <w:rPr>
          <w:rFonts w:ascii="Arial" w:hAnsi="Arial" w:cs="Arial"/>
          <w:bCs/>
          <w:i/>
          <w:sz w:val="20"/>
          <w:szCs w:val="20"/>
        </w:rPr>
      </w:pPr>
      <w:r w:rsidRPr="00AE7743">
        <w:rPr>
          <w:rFonts w:ascii="Arial" w:hAnsi="Arial" w:cs="Arial"/>
          <w:bCs/>
          <w:i/>
          <w:sz w:val="20"/>
          <w:szCs w:val="20"/>
        </w:rPr>
        <w:t>6.6. Vorläufige materielle Vorprüfung durch die Bundeskanzlei</w:t>
      </w:r>
    </w:p>
    <w:p w14:paraId="704615B1" w14:textId="77777777" w:rsidR="00FB3400" w:rsidRDefault="00FB3400" w:rsidP="00FB3400">
      <w:pPr>
        <w:widowControl w:val="0"/>
        <w:autoSpaceDE w:val="0"/>
        <w:autoSpaceDN w:val="0"/>
        <w:adjustRightInd w:val="0"/>
        <w:rPr>
          <w:rFonts w:ascii="Arial" w:hAnsi="Arial" w:cs="Arial"/>
          <w:bCs/>
          <w:i/>
          <w:sz w:val="20"/>
          <w:szCs w:val="20"/>
        </w:rPr>
      </w:pPr>
      <w:r w:rsidRPr="00AE7743">
        <w:rPr>
          <w:rFonts w:ascii="Arial" w:hAnsi="Arial" w:cs="Arial"/>
          <w:bCs/>
          <w:i/>
          <w:sz w:val="20"/>
          <w:szCs w:val="20"/>
        </w:rPr>
        <w:t>6.7. Beschwerdemöglichkeit ans Bundesgericht</w:t>
      </w:r>
    </w:p>
    <w:p w14:paraId="40475932" w14:textId="77777777" w:rsidR="00AE7743" w:rsidRPr="00AE7743" w:rsidRDefault="00AE7743" w:rsidP="00FB3400">
      <w:pPr>
        <w:widowControl w:val="0"/>
        <w:autoSpaceDE w:val="0"/>
        <w:autoSpaceDN w:val="0"/>
        <w:adjustRightInd w:val="0"/>
        <w:rPr>
          <w:rFonts w:ascii="Arial" w:hAnsi="Arial" w:cs="Arial"/>
          <w:bCs/>
          <w:i/>
          <w:sz w:val="20"/>
          <w:szCs w:val="20"/>
        </w:rPr>
      </w:pPr>
    </w:p>
    <w:p w14:paraId="4BBB0A6E" w14:textId="77777777" w:rsidR="00FB3400" w:rsidRPr="00AE7743" w:rsidRDefault="00FB3400" w:rsidP="00FB3400">
      <w:pPr>
        <w:widowControl w:val="0"/>
        <w:autoSpaceDE w:val="0"/>
        <w:autoSpaceDN w:val="0"/>
        <w:adjustRightInd w:val="0"/>
        <w:rPr>
          <w:rFonts w:ascii="Arial" w:hAnsi="Arial" w:cs="Arial"/>
          <w:bCs/>
          <w:i/>
          <w:sz w:val="20"/>
          <w:szCs w:val="20"/>
        </w:rPr>
      </w:pPr>
      <w:r w:rsidRPr="00AE7743">
        <w:rPr>
          <w:rFonts w:ascii="Arial" w:hAnsi="Arial" w:cs="Arial"/>
          <w:bCs/>
          <w:i/>
          <w:sz w:val="20"/>
          <w:szCs w:val="20"/>
        </w:rPr>
        <w:t>7. Schluss</w:t>
      </w:r>
    </w:p>
    <w:p w14:paraId="524D4977" w14:textId="77777777" w:rsidR="00FB3400" w:rsidRPr="00FB3400" w:rsidRDefault="00FB3400" w:rsidP="00FB3400"/>
    <w:p w14:paraId="22D2B3A7" w14:textId="77777777" w:rsidR="00AA1A30" w:rsidRDefault="00AA1A30" w:rsidP="00B8433C">
      <w:pPr>
        <w:widowControl w:val="0"/>
        <w:autoSpaceDE w:val="0"/>
        <w:autoSpaceDN w:val="0"/>
        <w:adjustRightInd w:val="0"/>
        <w:rPr>
          <w:rFonts w:ascii="Arial" w:hAnsi="Arial" w:cs="Arial"/>
          <w:bCs/>
          <w:i/>
        </w:rPr>
      </w:pPr>
    </w:p>
    <w:p w14:paraId="3C7477A0" w14:textId="44D1B0A5" w:rsidR="001E6C2D" w:rsidRPr="00AE7743" w:rsidRDefault="00AE7743" w:rsidP="00AE7743">
      <w:pPr>
        <w:widowControl w:val="0"/>
        <w:autoSpaceDE w:val="0"/>
        <w:autoSpaceDN w:val="0"/>
        <w:adjustRightInd w:val="0"/>
        <w:outlineLvl w:val="0"/>
        <w:rPr>
          <w:rFonts w:ascii="Arial" w:hAnsi="Arial" w:cs="Arial"/>
          <w:b/>
          <w:bCs/>
        </w:rPr>
      </w:pPr>
      <w:r w:rsidRPr="00AE7743">
        <w:rPr>
          <w:rFonts w:ascii="Arial" w:hAnsi="Arial" w:cs="Arial"/>
          <w:b/>
          <w:bCs/>
        </w:rPr>
        <w:t>1.</w:t>
      </w:r>
      <w:r>
        <w:rPr>
          <w:rFonts w:ascii="Arial" w:hAnsi="Arial" w:cs="Arial"/>
          <w:b/>
          <w:bCs/>
        </w:rPr>
        <w:t xml:space="preserve"> </w:t>
      </w:r>
      <w:r w:rsidR="001E6C2D" w:rsidRPr="00AE7743">
        <w:rPr>
          <w:rFonts w:ascii="Arial" w:hAnsi="Arial" w:cs="Arial"/>
          <w:b/>
          <w:bCs/>
        </w:rPr>
        <w:t>Einleitung</w:t>
      </w:r>
    </w:p>
    <w:p w14:paraId="0225410D" w14:textId="34B22022" w:rsidR="001E6C2D" w:rsidRPr="00EC2366" w:rsidRDefault="00AE7743" w:rsidP="00EC2366">
      <w:pPr>
        <w:rPr>
          <w:rFonts w:ascii="Arial" w:hAnsi="Arial" w:cs="Arial"/>
          <w:b/>
        </w:rPr>
      </w:pPr>
      <w:r>
        <w:rPr>
          <w:rFonts w:ascii="Arial" w:hAnsi="Arial" w:cs="Arial"/>
          <w:b/>
        </w:rPr>
        <w:t>1.1. Stand der parlamentarischen Beratungen</w:t>
      </w:r>
    </w:p>
    <w:p w14:paraId="1BB3659E" w14:textId="77777777" w:rsidR="00835BF2" w:rsidRDefault="00522263" w:rsidP="00DE0136">
      <w:pPr>
        <w:widowControl w:val="0"/>
        <w:autoSpaceDE w:val="0"/>
        <w:autoSpaceDN w:val="0"/>
        <w:adjustRightInd w:val="0"/>
        <w:rPr>
          <w:rFonts w:ascii="Arial" w:hAnsi="Arial" w:cs="Arial"/>
          <w:bCs/>
        </w:rPr>
      </w:pPr>
      <w:r>
        <w:rPr>
          <w:rFonts w:ascii="Arial" w:hAnsi="Arial" w:cs="Arial"/>
          <w:bCs/>
        </w:rPr>
        <w:t xml:space="preserve">Sowohl der Nationalrat als auch der Ständerat beantragten mit </w:t>
      </w:r>
      <w:proofErr w:type="spellStart"/>
      <w:r>
        <w:rPr>
          <w:rFonts w:ascii="Arial" w:hAnsi="Arial" w:cs="Arial"/>
          <w:bCs/>
        </w:rPr>
        <w:t>Motionen</w:t>
      </w:r>
      <w:proofErr w:type="spellEnd"/>
      <w:r w:rsidR="00EC1198">
        <w:rPr>
          <w:rFonts w:ascii="Arial" w:hAnsi="Arial" w:cs="Arial"/>
          <w:bCs/>
        </w:rPr>
        <w:t xml:space="preserve"> den Bundesrat, zwei </w:t>
      </w:r>
      <w:proofErr w:type="spellStart"/>
      <w:r w:rsidR="00EC1198">
        <w:rPr>
          <w:rFonts w:ascii="Arial" w:hAnsi="Arial" w:cs="Arial"/>
          <w:bCs/>
        </w:rPr>
        <w:t>Massnahmen</w:t>
      </w:r>
      <w:proofErr w:type="spellEnd"/>
      <w:r w:rsidR="00EC1198">
        <w:rPr>
          <w:rFonts w:ascii="Arial" w:hAnsi="Arial" w:cs="Arial"/>
          <w:bCs/>
        </w:rPr>
        <w:t xml:space="preserve"> zur besseren Vereinbarkeit von Volksiniti</w:t>
      </w:r>
      <w:r w:rsidR="00EC1198" w:rsidRPr="00EC1198">
        <w:rPr>
          <w:rFonts w:ascii="Arial" w:hAnsi="Arial" w:cs="Arial"/>
          <w:bCs/>
        </w:rPr>
        <w:t>ativen mit den Grundr</w:t>
      </w:r>
      <w:r w:rsidR="00EC1198">
        <w:rPr>
          <w:rFonts w:ascii="Arial" w:hAnsi="Arial" w:cs="Arial"/>
          <w:bCs/>
        </w:rPr>
        <w:t xml:space="preserve">echten und mit dem Völkerrecht vorzusehen: erstens eine materielle Vorprüfung von Volksinitiativen und zweitens die Einführung eines zusätzlichen Grundes </w:t>
      </w:r>
      <w:r w:rsidR="00EC1198" w:rsidRPr="00EC1198">
        <w:rPr>
          <w:rFonts w:ascii="Arial" w:hAnsi="Arial" w:cs="Arial"/>
          <w:bCs/>
        </w:rPr>
        <w:t xml:space="preserve">für die </w:t>
      </w:r>
      <w:proofErr w:type="spellStart"/>
      <w:r w:rsidR="00EC1198" w:rsidRPr="00EC1198">
        <w:rPr>
          <w:rFonts w:ascii="Arial" w:hAnsi="Arial" w:cs="Arial"/>
          <w:bCs/>
        </w:rPr>
        <w:t>Ungülti</w:t>
      </w:r>
      <w:r w:rsidR="00EC1198">
        <w:rPr>
          <w:rFonts w:ascii="Arial" w:hAnsi="Arial" w:cs="Arial"/>
          <w:bCs/>
        </w:rPr>
        <w:t>gerklärung</w:t>
      </w:r>
      <w:proofErr w:type="spellEnd"/>
      <w:r w:rsidR="00EC1198">
        <w:rPr>
          <w:rFonts w:ascii="Arial" w:hAnsi="Arial" w:cs="Arial"/>
          <w:bCs/>
        </w:rPr>
        <w:t xml:space="preserve"> einer Volksinitiative, </w:t>
      </w:r>
      <w:r w:rsidR="00EC1198" w:rsidRPr="00EC1198">
        <w:rPr>
          <w:rFonts w:ascii="Arial" w:hAnsi="Arial" w:cs="Arial"/>
          <w:bCs/>
        </w:rPr>
        <w:t>wenn sie den grundrechtlichen Kerngehal</w:t>
      </w:r>
      <w:r w:rsidR="00EC1198">
        <w:rPr>
          <w:rFonts w:ascii="Arial" w:hAnsi="Arial" w:cs="Arial"/>
          <w:bCs/>
        </w:rPr>
        <w:t>ten der Bundesverfassung wider</w:t>
      </w:r>
      <w:r w:rsidR="00EC1198" w:rsidRPr="00EC1198">
        <w:rPr>
          <w:rFonts w:ascii="Arial" w:hAnsi="Arial" w:cs="Arial"/>
          <w:bCs/>
        </w:rPr>
        <w:t xml:space="preserve">spricht. </w:t>
      </w:r>
      <w:r w:rsidR="004E4505" w:rsidRPr="004E4505">
        <w:rPr>
          <w:rFonts w:ascii="Arial" w:hAnsi="Arial" w:cs="Arial"/>
          <w:bCs/>
        </w:rPr>
        <w:t xml:space="preserve">In der </w:t>
      </w:r>
      <w:r w:rsidR="004E4505">
        <w:rPr>
          <w:rFonts w:ascii="Arial" w:hAnsi="Arial" w:cs="Arial"/>
          <w:bCs/>
        </w:rPr>
        <w:t xml:space="preserve"> dazu durchgeführten </w:t>
      </w:r>
      <w:r w:rsidR="004E4505" w:rsidRPr="004E4505">
        <w:rPr>
          <w:rFonts w:ascii="Arial" w:hAnsi="Arial" w:cs="Arial"/>
          <w:bCs/>
        </w:rPr>
        <w:t xml:space="preserve">Vernehmlassung wurden </w:t>
      </w:r>
      <w:r w:rsidR="004E4505">
        <w:rPr>
          <w:rFonts w:ascii="Arial" w:hAnsi="Arial" w:cs="Arial"/>
          <w:bCs/>
        </w:rPr>
        <w:t xml:space="preserve">insbesondere </w:t>
      </w:r>
      <w:proofErr w:type="spellStart"/>
      <w:r w:rsidR="004E4505">
        <w:rPr>
          <w:rFonts w:ascii="Arial" w:hAnsi="Arial" w:cs="Arial"/>
          <w:bCs/>
        </w:rPr>
        <w:t>Zweilfel</w:t>
      </w:r>
      <w:proofErr w:type="spellEnd"/>
      <w:r w:rsidR="004E4505">
        <w:rPr>
          <w:rFonts w:ascii="Arial" w:hAnsi="Arial" w:cs="Arial"/>
          <w:bCs/>
        </w:rPr>
        <w:t xml:space="preserve"> </w:t>
      </w:r>
      <w:r w:rsidR="004E4505" w:rsidRPr="004E4505">
        <w:rPr>
          <w:rFonts w:ascii="Arial" w:hAnsi="Arial" w:cs="Arial"/>
          <w:bCs/>
        </w:rPr>
        <w:t xml:space="preserve">an der Wirksamkeit der </w:t>
      </w:r>
      <w:proofErr w:type="spellStart"/>
      <w:r w:rsidR="004E4505" w:rsidRPr="004E4505">
        <w:rPr>
          <w:rFonts w:ascii="Arial" w:hAnsi="Arial" w:cs="Arial"/>
          <w:bCs/>
        </w:rPr>
        <w:t>Massnahmen</w:t>
      </w:r>
      <w:proofErr w:type="spellEnd"/>
      <w:r w:rsidR="004E4505" w:rsidRPr="004E4505">
        <w:rPr>
          <w:rFonts w:ascii="Arial" w:hAnsi="Arial" w:cs="Arial"/>
          <w:bCs/>
        </w:rPr>
        <w:t xml:space="preserve"> und an der Vereinbarkeit mit der Wahl- und Abstimmungsfreiheit </w:t>
      </w:r>
      <w:proofErr w:type="spellStart"/>
      <w:r w:rsidR="004E4505" w:rsidRPr="004E4505">
        <w:rPr>
          <w:rFonts w:ascii="Arial" w:hAnsi="Arial" w:cs="Arial"/>
          <w:bCs/>
        </w:rPr>
        <w:t>geäussert</w:t>
      </w:r>
      <w:proofErr w:type="spellEnd"/>
      <w:r w:rsidR="004E4505">
        <w:rPr>
          <w:rFonts w:ascii="Arial" w:hAnsi="Arial" w:cs="Arial"/>
          <w:bCs/>
        </w:rPr>
        <w:t xml:space="preserve">, so dass </w:t>
      </w:r>
      <w:r w:rsidR="004E4505" w:rsidRPr="004E4505">
        <w:rPr>
          <w:rFonts w:ascii="Arial" w:hAnsi="Arial" w:cs="Arial"/>
          <w:bCs/>
        </w:rPr>
        <w:t xml:space="preserve">der Bundesrat </w:t>
      </w:r>
      <w:r w:rsidR="00B1110D">
        <w:rPr>
          <w:rFonts w:ascii="Arial" w:hAnsi="Arial" w:cs="Arial"/>
          <w:bCs/>
        </w:rPr>
        <w:t>in seinem Bericht vom 19. Februar 2014</w:t>
      </w:r>
      <w:r w:rsidR="00B1110D">
        <w:rPr>
          <w:rStyle w:val="Funotenzeichen"/>
          <w:rFonts w:ascii="Arial" w:hAnsi="Arial" w:cs="Arial"/>
          <w:bCs/>
        </w:rPr>
        <w:footnoteReference w:id="1"/>
      </w:r>
      <w:r w:rsidR="00B1110D">
        <w:rPr>
          <w:rFonts w:ascii="Arial" w:hAnsi="Arial" w:cs="Arial"/>
          <w:bCs/>
        </w:rPr>
        <w:t xml:space="preserve"> </w:t>
      </w:r>
      <w:r w:rsidR="004E4505" w:rsidRPr="004E4505">
        <w:rPr>
          <w:rFonts w:ascii="Arial" w:hAnsi="Arial" w:cs="Arial"/>
          <w:bCs/>
        </w:rPr>
        <w:t xml:space="preserve">dem </w:t>
      </w:r>
      <w:r w:rsidR="004E4505" w:rsidRPr="004E4505">
        <w:rPr>
          <w:rFonts w:ascii="Arial" w:hAnsi="Arial" w:cs="Arial"/>
          <w:bCs/>
        </w:rPr>
        <w:lastRenderedPageBreak/>
        <w:t xml:space="preserve">Parlament die Abschreibung der </w:t>
      </w:r>
      <w:proofErr w:type="spellStart"/>
      <w:r w:rsidR="004E4505" w:rsidRPr="004E4505">
        <w:rPr>
          <w:rFonts w:ascii="Arial" w:hAnsi="Arial" w:cs="Arial"/>
          <w:bCs/>
        </w:rPr>
        <w:t>Motionen</w:t>
      </w:r>
      <w:proofErr w:type="spellEnd"/>
      <w:r w:rsidR="00D508A0">
        <w:rPr>
          <w:rFonts w:ascii="Arial" w:hAnsi="Arial" w:cs="Arial"/>
          <w:bCs/>
        </w:rPr>
        <w:t xml:space="preserve"> beantragte</w:t>
      </w:r>
      <w:r w:rsidR="004E4505" w:rsidRPr="004E4505">
        <w:rPr>
          <w:rFonts w:ascii="Arial" w:hAnsi="Arial" w:cs="Arial"/>
          <w:bCs/>
        </w:rPr>
        <w:t xml:space="preserve">. </w:t>
      </w:r>
    </w:p>
    <w:p w14:paraId="32EE8490" w14:textId="77777777" w:rsidR="00AE7743" w:rsidRPr="00AE7743" w:rsidRDefault="00AE7743" w:rsidP="00DE0136">
      <w:pPr>
        <w:widowControl w:val="0"/>
        <w:autoSpaceDE w:val="0"/>
        <w:autoSpaceDN w:val="0"/>
        <w:adjustRightInd w:val="0"/>
        <w:rPr>
          <w:rFonts w:ascii="Arial" w:hAnsi="Arial" w:cs="Arial"/>
          <w:b/>
          <w:bCs/>
        </w:rPr>
      </w:pPr>
    </w:p>
    <w:p w14:paraId="471A4C80" w14:textId="77777777" w:rsidR="00AE7743" w:rsidRDefault="004E4505" w:rsidP="00DE0136">
      <w:pPr>
        <w:widowControl w:val="0"/>
        <w:autoSpaceDE w:val="0"/>
        <w:autoSpaceDN w:val="0"/>
        <w:adjustRightInd w:val="0"/>
        <w:rPr>
          <w:rFonts w:ascii="Arial" w:hAnsi="Arial" w:cs="Arial"/>
          <w:bCs/>
        </w:rPr>
      </w:pPr>
      <w:r>
        <w:rPr>
          <w:rFonts w:ascii="Arial" w:hAnsi="Arial" w:cs="Arial"/>
          <w:bCs/>
        </w:rPr>
        <w:t xml:space="preserve">Der Ständerat verzichtete hingegen vorerst darauf </w:t>
      </w:r>
      <w:r w:rsidR="00B1110D">
        <w:rPr>
          <w:rFonts w:ascii="Arial" w:hAnsi="Arial" w:cs="Arial"/>
          <w:bCs/>
        </w:rPr>
        <w:t xml:space="preserve">und seine Staatspolitische Kommission </w:t>
      </w:r>
      <w:r w:rsidR="00DE0136">
        <w:rPr>
          <w:rFonts w:ascii="Arial" w:hAnsi="Arial" w:cs="Arial"/>
          <w:bCs/>
        </w:rPr>
        <w:t xml:space="preserve">(SPK-SR) </w:t>
      </w:r>
      <w:r w:rsidR="00B1110D">
        <w:rPr>
          <w:rFonts w:ascii="Arial" w:hAnsi="Arial" w:cs="Arial"/>
          <w:bCs/>
        </w:rPr>
        <w:t>erstellte</w:t>
      </w:r>
      <w:r w:rsidR="00D508A0">
        <w:rPr>
          <w:rFonts w:ascii="Arial" w:hAnsi="Arial" w:cs="Arial"/>
          <w:bCs/>
        </w:rPr>
        <w:t xml:space="preserve"> einen</w:t>
      </w:r>
      <w:r w:rsidR="00B1110D">
        <w:rPr>
          <w:rFonts w:ascii="Arial" w:hAnsi="Arial" w:cs="Arial"/>
          <w:bCs/>
        </w:rPr>
        <w:t xml:space="preserve"> Bericht zu den Anforderungen an die Gültigkeit von Volksinitiativen, in </w:t>
      </w:r>
      <w:r w:rsidR="001B7FC1">
        <w:rPr>
          <w:rFonts w:ascii="Arial" w:hAnsi="Arial" w:cs="Arial"/>
          <w:bCs/>
        </w:rPr>
        <w:t xml:space="preserve">dem </w:t>
      </w:r>
      <w:r w:rsidR="00B1110D">
        <w:rPr>
          <w:rFonts w:ascii="Arial" w:hAnsi="Arial" w:cs="Arial"/>
          <w:bCs/>
        </w:rPr>
        <w:t>der Reformbedarf geprüft wird</w:t>
      </w:r>
      <w:r w:rsidR="00C4147D">
        <w:rPr>
          <w:rStyle w:val="Funotenzeichen"/>
          <w:rFonts w:ascii="Arial" w:hAnsi="Arial" w:cs="Arial"/>
          <w:bCs/>
        </w:rPr>
        <w:footnoteReference w:id="2"/>
      </w:r>
      <w:r w:rsidR="00B1110D">
        <w:rPr>
          <w:rFonts w:ascii="Arial" w:hAnsi="Arial" w:cs="Arial"/>
          <w:bCs/>
        </w:rPr>
        <w:t xml:space="preserve">. Sie kommt zum Schluss </w:t>
      </w:r>
      <w:r w:rsidR="00B1110D" w:rsidRPr="00B1110D">
        <w:rPr>
          <w:rFonts w:ascii="Arial" w:hAnsi="Arial" w:cs="Arial"/>
          <w:bCs/>
        </w:rPr>
        <w:t>Die Beliebtheit des Instrum</w:t>
      </w:r>
      <w:r w:rsidR="00B1110D">
        <w:rPr>
          <w:rFonts w:ascii="Arial" w:hAnsi="Arial" w:cs="Arial"/>
          <w:bCs/>
        </w:rPr>
        <w:t>entes der Volksinitiative stelle nicht nur eine Her</w:t>
      </w:r>
      <w:r w:rsidR="00B1110D" w:rsidRPr="00B1110D">
        <w:rPr>
          <w:rFonts w:ascii="Arial" w:hAnsi="Arial" w:cs="Arial"/>
          <w:bCs/>
        </w:rPr>
        <w:t xml:space="preserve">ausforderung für den Gesetzgeber dar, sondern auch </w:t>
      </w:r>
      <w:r w:rsidR="00DE0136">
        <w:rPr>
          <w:rFonts w:ascii="Arial" w:hAnsi="Arial" w:cs="Arial"/>
          <w:bCs/>
        </w:rPr>
        <w:t>für die direkte Demokratie sel</w:t>
      </w:r>
      <w:r w:rsidR="00B1110D" w:rsidRPr="00B1110D">
        <w:rPr>
          <w:rFonts w:ascii="Arial" w:hAnsi="Arial" w:cs="Arial"/>
          <w:bCs/>
        </w:rPr>
        <w:t>ber. Die häufig hart geführten Diskussionen über die Umsetzungsgesetzgebungen gehör</w:t>
      </w:r>
      <w:r w:rsidR="00DE0136">
        <w:rPr>
          <w:rFonts w:ascii="Arial" w:hAnsi="Arial" w:cs="Arial"/>
          <w:bCs/>
        </w:rPr>
        <w:t>t</w:t>
      </w:r>
      <w:r w:rsidR="00B1110D" w:rsidRPr="00B1110D">
        <w:rPr>
          <w:rFonts w:ascii="Arial" w:hAnsi="Arial" w:cs="Arial"/>
          <w:bCs/>
        </w:rPr>
        <w:t>en zwar durchaus zum normalen politischen Prozess, könn</w:t>
      </w:r>
      <w:r w:rsidR="00DE0136">
        <w:rPr>
          <w:rFonts w:ascii="Arial" w:hAnsi="Arial" w:cs="Arial"/>
          <w:bCs/>
        </w:rPr>
        <w:t>t</w:t>
      </w:r>
      <w:r w:rsidR="00B1110D" w:rsidRPr="00B1110D">
        <w:rPr>
          <w:rFonts w:ascii="Arial" w:hAnsi="Arial" w:cs="Arial"/>
          <w:bCs/>
        </w:rPr>
        <w:t xml:space="preserve">en aber bei den Stimmbürgerinnen und Stimmbürgern den Eindruck </w:t>
      </w:r>
      <w:r w:rsidR="00DE0136">
        <w:rPr>
          <w:rFonts w:ascii="Arial" w:hAnsi="Arial" w:cs="Arial"/>
          <w:bCs/>
        </w:rPr>
        <w:t>erwecken, Volksinitiativen wür</w:t>
      </w:r>
      <w:r w:rsidR="00B1110D" w:rsidRPr="00B1110D">
        <w:rPr>
          <w:rFonts w:ascii="Arial" w:hAnsi="Arial" w:cs="Arial"/>
          <w:bCs/>
        </w:rPr>
        <w:t>den ni</w:t>
      </w:r>
      <w:r w:rsidR="00DE0136">
        <w:rPr>
          <w:rFonts w:ascii="Arial" w:hAnsi="Arial" w:cs="Arial"/>
          <w:bCs/>
        </w:rPr>
        <w:t xml:space="preserve">cht korrekt umgesetzt. Auch sei </w:t>
      </w:r>
      <w:r w:rsidR="00B1110D" w:rsidRPr="00B1110D">
        <w:rPr>
          <w:rFonts w:ascii="Arial" w:hAnsi="Arial" w:cs="Arial"/>
          <w:bCs/>
        </w:rPr>
        <w:t>es problematisch, wenn dem Volk Initiat</w:t>
      </w:r>
      <w:r w:rsidR="00DE0136">
        <w:rPr>
          <w:rFonts w:ascii="Arial" w:hAnsi="Arial" w:cs="Arial"/>
          <w:bCs/>
        </w:rPr>
        <w:t>iven zur Abstimmung vorgelegt wü</w:t>
      </w:r>
      <w:r w:rsidR="00B1110D" w:rsidRPr="00B1110D">
        <w:rPr>
          <w:rFonts w:ascii="Arial" w:hAnsi="Arial" w:cs="Arial"/>
          <w:bCs/>
        </w:rPr>
        <w:t>rden, deren Wortlaut eine</w:t>
      </w:r>
      <w:r w:rsidR="00DE0136">
        <w:rPr>
          <w:rFonts w:ascii="Arial" w:hAnsi="Arial" w:cs="Arial"/>
          <w:bCs/>
        </w:rPr>
        <w:t xml:space="preserve"> striktere Umsetzung </w:t>
      </w:r>
      <w:proofErr w:type="spellStart"/>
      <w:r w:rsidR="00DE0136">
        <w:rPr>
          <w:rFonts w:ascii="Arial" w:hAnsi="Arial" w:cs="Arial"/>
          <w:bCs/>
        </w:rPr>
        <w:t>verhiessen</w:t>
      </w:r>
      <w:proofErr w:type="spellEnd"/>
      <w:r w:rsidR="00B1110D" w:rsidRPr="00B1110D">
        <w:rPr>
          <w:rFonts w:ascii="Arial" w:hAnsi="Arial" w:cs="Arial"/>
          <w:bCs/>
        </w:rPr>
        <w:t>, als aufgrund rechtsstaatlicher oder völkerrechtlich</w:t>
      </w:r>
      <w:r w:rsidR="00DE0136">
        <w:rPr>
          <w:rFonts w:ascii="Arial" w:hAnsi="Arial" w:cs="Arial"/>
          <w:bCs/>
        </w:rPr>
        <w:t xml:space="preserve">er Rahmenbedingungen möglich </w:t>
      </w:r>
      <w:proofErr w:type="gramStart"/>
      <w:r w:rsidR="00DE0136">
        <w:rPr>
          <w:rFonts w:ascii="Arial" w:hAnsi="Arial" w:cs="Arial"/>
          <w:bCs/>
        </w:rPr>
        <w:t>sei</w:t>
      </w:r>
      <w:proofErr w:type="gramEnd"/>
      <w:r w:rsidR="00B1110D" w:rsidRPr="00B1110D">
        <w:rPr>
          <w:rFonts w:ascii="Arial" w:hAnsi="Arial" w:cs="Arial"/>
          <w:bCs/>
        </w:rPr>
        <w:t xml:space="preserve">. Das Vertrauen in das Instrument könnte dadurch gemindert werden. </w:t>
      </w:r>
      <w:r w:rsidR="00DE0136" w:rsidRPr="00DE0136">
        <w:rPr>
          <w:rFonts w:ascii="Arial" w:hAnsi="Arial" w:cs="Arial"/>
          <w:bCs/>
        </w:rPr>
        <w:t>V</w:t>
      </w:r>
      <w:r w:rsidR="00DE0136">
        <w:rPr>
          <w:rFonts w:ascii="Arial" w:hAnsi="Arial" w:cs="Arial"/>
          <w:bCs/>
        </w:rPr>
        <w:t xml:space="preserve">or diesem Hintergrund hat die SPK-SR </w:t>
      </w:r>
      <w:r w:rsidR="00DE0136" w:rsidRPr="00DE0136">
        <w:rPr>
          <w:rFonts w:ascii="Arial" w:hAnsi="Arial" w:cs="Arial"/>
          <w:bCs/>
        </w:rPr>
        <w:t>geprüft, ob die Anforderungen an die Gültigkeit von Volksinitiativen er</w:t>
      </w:r>
      <w:r w:rsidR="00DE0136">
        <w:rPr>
          <w:rFonts w:ascii="Arial" w:hAnsi="Arial" w:cs="Arial"/>
          <w:bCs/>
        </w:rPr>
        <w:t xml:space="preserve">gänzt werden sollten. Dabei habe </w:t>
      </w:r>
      <w:r w:rsidR="00DE0136" w:rsidRPr="00DE0136">
        <w:rPr>
          <w:rFonts w:ascii="Arial" w:hAnsi="Arial" w:cs="Arial"/>
          <w:bCs/>
        </w:rPr>
        <w:t>sich gezeigt, dass die heute gelte</w:t>
      </w:r>
      <w:r w:rsidR="00DE0136">
        <w:rPr>
          <w:rFonts w:ascii="Arial" w:hAnsi="Arial" w:cs="Arial"/>
          <w:bCs/>
        </w:rPr>
        <w:t xml:space="preserve">nden Gründe für die </w:t>
      </w:r>
      <w:proofErr w:type="spellStart"/>
      <w:r w:rsidR="00DE0136">
        <w:rPr>
          <w:rFonts w:ascii="Arial" w:hAnsi="Arial" w:cs="Arial"/>
          <w:bCs/>
        </w:rPr>
        <w:t>Ungültiger</w:t>
      </w:r>
      <w:r w:rsidR="00DE0136" w:rsidRPr="00DE0136">
        <w:rPr>
          <w:rFonts w:ascii="Arial" w:hAnsi="Arial" w:cs="Arial"/>
          <w:bCs/>
        </w:rPr>
        <w:t>klärung</w:t>
      </w:r>
      <w:proofErr w:type="spellEnd"/>
      <w:r w:rsidR="00DE0136" w:rsidRPr="00DE0136">
        <w:rPr>
          <w:rFonts w:ascii="Arial" w:hAnsi="Arial" w:cs="Arial"/>
          <w:bCs/>
        </w:rPr>
        <w:t xml:space="preserve"> einer Volksinit</w:t>
      </w:r>
      <w:r w:rsidR="00DE0136">
        <w:rPr>
          <w:rFonts w:ascii="Arial" w:hAnsi="Arial" w:cs="Arial"/>
          <w:bCs/>
        </w:rPr>
        <w:t>iative sich durchaus bewährt hätt</w:t>
      </w:r>
      <w:r w:rsidR="00DE0136" w:rsidRPr="00DE0136">
        <w:rPr>
          <w:rFonts w:ascii="Arial" w:hAnsi="Arial" w:cs="Arial"/>
          <w:bCs/>
        </w:rPr>
        <w:t>en. Sie sollten nicht ergänzt werden durch weitere Gründe, welche nicht präzis genug formuliert werden könn</w:t>
      </w:r>
      <w:r w:rsidR="00DE0136">
        <w:rPr>
          <w:rFonts w:ascii="Arial" w:hAnsi="Arial" w:cs="Arial"/>
          <w:bCs/>
        </w:rPr>
        <w:t>t</w:t>
      </w:r>
      <w:r w:rsidR="00DE0136" w:rsidRPr="00DE0136">
        <w:rPr>
          <w:rFonts w:ascii="Arial" w:hAnsi="Arial" w:cs="Arial"/>
          <w:bCs/>
        </w:rPr>
        <w:t>en und somit Spielraum für eine politische, statt rechtlich</w:t>
      </w:r>
      <w:r w:rsidR="00DE0136">
        <w:rPr>
          <w:rFonts w:ascii="Arial" w:hAnsi="Arial" w:cs="Arial"/>
          <w:bCs/>
        </w:rPr>
        <w:t>e Beurteilung der Gültigkeit bö</w:t>
      </w:r>
      <w:r w:rsidR="00DE0136" w:rsidRPr="00DE0136">
        <w:rPr>
          <w:rFonts w:ascii="Arial" w:hAnsi="Arial" w:cs="Arial"/>
          <w:bCs/>
        </w:rPr>
        <w:t>ten. In zwei Punkten könnte die Kommissionsm</w:t>
      </w:r>
      <w:r w:rsidR="00DE0136">
        <w:rPr>
          <w:rFonts w:ascii="Arial" w:hAnsi="Arial" w:cs="Arial"/>
          <w:bCs/>
        </w:rPr>
        <w:t>ehrheit sich jedoch eine Ergän</w:t>
      </w:r>
      <w:r w:rsidR="00DE0136" w:rsidRPr="00DE0136">
        <w:rPr>
          <w:rFonts w:ascii="Arial" w:hAnsi="Arial" w:cs="Arial"/>
          <w:bCs/>
        </w:rPr>
        <w:t>zung bzw. Präzisierung der Un</w:t>
      </w:r>
      <w:r w:rsidR="00DE0136">
        <w:rPr>
          <w:rFonts w:ascii="Arial" w:hAnsi="Arial" w:cs="Arial"/>
          <w:bCs/>
        </w:rPr>
        <w:t xml:space="preserve">gültigkeitsgründe vorstellen: </w:t>
      </w:r>
      <w:r w:rsidR="00DE0136" w:rsidRPr="00DE0136">
        <w:rPr>
          <w:rFonts w:ascii="Arial" w:hAnsi="Arial" w:cs="Arial"/>
          <w:bCs/>
        </w:rPr>
        <w:t>Neu sollen auch Volksinitiativen als ungült</w:t>
      </w:r>
      <w:r w:rsidR="00DE0136">
        <w:rPr>
          <w:rFonts w:ascii="Arial" w:hAnsi="Arial" w:cs="Arial"/>
          <w:bCs/>
        </w:rPr>
        <w:t>ig erklärt werden, welche rück</w:t>
      </w:r>
      <w:r w:rsidR="00DE0136" w:rsidRPr="00DE0136">
        <w:rPr>
          <w:rFonts w:ascii="Arial" w:hAnsi="Arial" w:cs="Arial"/>
          <w:bCs/>
        </w:rPr>
        <w:t>w</w:t>
      </w:r>
      <w:r w:rsidR="00DE0136">
        <w:rPr>
          <w:rFonts w:ascii="Arial" w:hAnsi="Arial" w:cs="Arial"/>
          <w:bCs/>
        </w:rPr>
        <w:t>irkende</w:t>
      </w:r>
      <w:r w:rsidR="001B7FC1">
        <w:rPr>
          <w:rFonts w:ascii="Arial" w:hAnsi="Arial" w:cs="Arial"/>
          <w:bCs/>
        </w:rPr>
        <w:t xml:space="preserve"> Bestimmungen enthalten und das Erfordernis </w:t>
      </w:r>
      <w:r w:rsidR="00DE0136">
        <w:rPr>
          <w:rFonts w:ascii="Arial" w:hAnsi="Arial" w:cs="Arial"/>
          <w:bCs/>
        </w:rPr>
        <w:t>der Ein</w:t>
      </w:r>
      <w:r w:rsidR="001B7FC1">
        <w:rPr>
          <w:rFonts w:ascii="Arial" w:hAnsi="Arial" w:cs="Arial"/>
          <w:bCs/>
        </w:rPr>
        <w:t>heit der Materie soll</w:t>
      </w:r>
      <w:r w:rsidR="00DE0136" w:rsidRPr="00DE0136">
        <w:rPr>
          <w:rFonts w:ascii="Arial" w:hAnsi="Arial" w:cs="Arial"/>
          <w:bCs/>
        </w:rPr>
        <w:t xml:space="preserve"> in der Praxis streng</w:t>
      </w:r>
      <w:r w:rsidR="001B7FC1">
        <w:rPr>
          <w:rFonts w:ascii="Arial" w:hAnsi="Arial" w:cs="Arial"/>
          <w:bCs/>
        </w:rPr>
        <w:t>er angewendet bzw. die entspre</w:t>
      </w:r>
      <w:r w:rsidR="00DE0136" w:rsidRPr="00DE0136">
        <w:rPr>
          <w:rFonts w:ascii="Arial" w:hAnsi="Arial" w:cs="Arial"/>
          <w:bCs/>
        </w:rPr>
        <w:t>chenden Kriterien im Gesetz präziser formuliert werden.</w:t>
      </w:r>
    </w:p>
    <w:p w14:paraId="2877D1BC" w14:textId="77777777" w:rsidR="00AE7743" w:rsidRDefault="00AE7743" w:rsidP="00DE0136">
      <w:pPr>
        <w:widowControl w:val="0"/>
        <w:autoSpaceDE w:val="0"/>
        <w:autoSpaceDN w:val="0"/>
        <w:adjustRightInd w:val="0"/>
        <w:rPr>
          <w:rFonts w:ascii="Arial" w:hAnsi="Arial" w:cs="Arial"/>
          <w:bCs/>
        </w:rPr>
      </w:pPr>
    </w:p>
    <w:p w14:paraId="762024A6" w14:textId="30878B13" w:rsidR="00B1110D" w:rsidRPr="00B1110D" w:rsidRDefault="00615BCB" w:rsidP="00B1110D">
      <w:pPr>
        <w:widowControl w:val="0"/>
        <w:autoSpaceDE w:val="0"/>
        <w:autoSpaceDN w:val="0"/>
        <w:adjustRightInd w:val="0"/>
        <w:rPr>
          <w:rFonts w:ascii="Arial" w:hAnsi="Arial" w:cs="Arial"/>
          <w:bCs/>
        </w:rPr>
      </w:pPr>
      <w:r>
        <w:rPr>
          <w:rFonts w:ascii="Arial" w:hAnsi="Arial" w:cs="Arial"/>
          <w:b/>
          <w:bCs/>
        </w:rPr>
        <w:t>1.2. Handlungsbedarf zu Unrecht verneint</w:t>
      </w:r>
      <w:r w:rsidR="00DE0136" w:rsidRPr="00DE0136">
        <w:rPr>
          <w:rFonts w:ascii="MS Mincho" w:eastAsia="MS Mincho" w:hAnsi="MS Mincho" w:cs="MS Mincho"/>
          <w:bCs/>
        </w:rPr>
        <w:t> </w:t>
      </w:r>
    </w:p>
    <w:p w14:paraId="08A992EB" w14:textId="77777777" w:rsidR="00615BCB" w:rsidRDefault="00835BF2" w:rsidP="0001730B">
      <w:pPr>
        <w:widowControl w:val="0"/>
        <w:autoSpaceDE w:val="0"/>
        <w:autoSpaceDN w:val="0"/>
        <w:adjustRightInd w:val="0"/>
        <w:rPr>
          <w:rFonts w:ascii="Arial" w:hAnsi="Arial" w:cs="Arial"/>
          <w:bCs/>
        </w:rPr>
      </w:pPr>
      <w:r>
        <w:rPr>
          <w:rFonts w:ascii="Arial" w:hAnsi="Arial" w:cs="Arial"/>
          <w:bCs/>
        </w:rPr>
        <w:t xml:space="preserve">Die </w:t>
      </w:r>
      <w:r w:rsidR="00D508A0">
        <w:rPr>
          <w:rFonts w:ascii="Arial" w:hAnsi="Arial" w:cs="Arial"/>
          <w:bCs/>
        </w:rPr>
        <w:t>Beurteilung</w:t>
      </w:r>
      <w:r>
        <w:rPr>
          <w:rFonts w:ascii="Arial" w:hAnsi="Arial" w:cs="Arial"/>
          <w:bCs/>
        </w:rPr>
        <w:t>, es bestehe kein dringender Handlungsbedarf und kaum eine Möglichkeit, eine griffige Erweiterung der Ungültigkeitsgründe zu finden,</w:t>
      </w:r>
      <w:r w:rsidR="00C4147D">
        <w:rPr>
          <w:rFonts w:ascii="Arial" w:hAnsi="Arial" w:cs="Arial"/>
          <w:bCs/>
        </w:rPr>
        <w:t xml:space="preserve"> </w:t>
      </w:r>
      <w:r w:rsidR="00D508A0">
        <w:rPr>
          <w:rFonts w:ascii="Arial" w:hAnsi="Arial" w:cs="Arial"/>
          <w:bCs/>
        </w:rPr>
        <w:t>kann nicht geteilt werden</w:t>
      </w:r>
      <w:r w:rsidR="00C4147D">
        <w:rPr>
          <w:rFonts w:ascii="Arial" w:hAnsi="Arial" w:cs="Arial"/>
          <w:bCs/>
        </w:rPr>
        <w:t xml:space="preserve">. </w:t>
      </w:r>
    </w:p>
    <w:p w14:paraId="0316E7D4" w14:textId="77777777" w:rsidR="00615BCB" w:rsidRDefault="00615BCB" w:rsidP="0001730B">
      <w:pPr>
        <w:widowControl w:val="0"/>
        <w:autoSpaceDE w:val="0"/>
        <w:autoSpaceDN w:val="0"/>
        <w:adjustRightInd w:val="0"/>
        <w:rPr>
          <w:rFonts w:ascii="Arial" w:hAnsi="Arial" w:cs="Arial"/>
          <w:bCs/>
        </w:rPr>
      </w:pPr>
    </w:p>
    <w:p w14:paraId="056180F5" w14:textId="6406FCBA" w:rsidR="009B3575" w:rsidRDefault="00835BF2" w:rsidP="0001730B">
      <w:pPr>
        <w:widowControl w:val="0"/>
        <w:autoSpaceDE w:val="0"/>
        <w:autoSpaceDN w:val="0"/>
        <w:adjustRightInd w:val="0"/>
        <w:rPr>
          <w:rFonts w:ascii="Arial" w:hAnsi="Arial" w:cs="Arial"/>
          <w:bCs/>
        </w:rPr>
      </w:pPr>
      <w:r>
        <w:rPr>
          <w:rFonts w:ascii="Arial" w:hAnsi="Arial" w:cs="Arial"/>
          <w:bCs/>
        </w:rPr>
        <w:t xml:space="preserve">Die </w:t>
      </w:r>
      <w:proofErr w:type="spellStart"/>
      <w:r>
        <w:rPr>
          <w:rFonts w:ascii="Arial" w:hAnsi="Arial" w:cs="Arial"/>
          <w:bCs/>
        </w:rPr>
        <w:t>grossen</w:t>
      </w:r>
      <w:proofErr w:type="spellEnd"/>
      <w:r>
        <w:rPr>
          <w:rFonts w:ascii="Arial" w:hAnsi="Arial" w:cs="Arial"/>
          <w:bCs/>
        </w:rPr>
        <w:t xml:space="preserve"> Schwierigkeiten </w:t>
      </w:r>
      <w:r w:rsidR="0090601F">
        <w:rPr>
          <w:rFonts w:ascii="Arial" w:hAnsi="Arial" w:cs="Arial"/>
          <w:bCs/>
        </w:rPr>
        <w:t>mit der Umsetzung von menschen- und grundrechtsw</w:t>
      </w:r>
      <w:r w:rsidR="00D508A0">
        <w:rPr>
          <w:rFonts w:ascii="Arial" w:hAnsi="Arial" w:cs="Arial"/>
          <w:bCs/>
        </w:rPr>
        <w:t xml:space="preserve">idrigen Volksinitiativen sind einerseits </w:t>
      </w:r>
      <w:r>
        <w:rPr>
          <w:rFonts w:ascii="Arial" w:hAnsi="Arial" w:cs="Arial"/>
          <w:bCs/>
        </w:rPr>
        <w:t xml:space="preserve">in unserem </w:t>
      </w:r>
      <w:r w:rsidR="00D508A0">
        <w:rPr>
          <w:rFonts w:ascii="Arial" w:hAnsi="Arial" w:cs="Arial"/>
          <w:bCs/>
        </w:rPr>
        <w:t>demokratisch</w:t>
      </w:r>
      <w:r>
        <w:rPr>
          <w:rFonts w:ascii="Arial" w:hAnsi="Arial" w:cs="Arial"/>
          <w:bCs/>
        </w:rPr>
        <w:t>en Rechtsstaat</w:t>
      </w:r>
      <w:r w:rsidR="00D508A0">
        <w:rPr>
          <w:rFonts w:ascii="Arial" w:hAnsi="Arial" w:cs="Arial"/>
          <w:bCs/>
        </w:rPr>
        <w:t xml:space="preserve"> gewichtiger</w:t>
      </w:r>
      <w:r w:rsidR="00615BCB">
        <w:rPr>
          <w:rFonts w:ascii="Arial" w:hAnsi="Arial" w:cs="Arial"/>
          <w:bCs/>
        </w:rPr>
        <w:t xml:space="preserve"> als sie die SPK-SR darstellt. A</w:t>
      </w:r>
      <w:r w:rsidR="0090601F">
        <w:rPr>
          <w:rFonts w:ascii="Arial" w:hAnsi="Arial" w:cs="Arial"/>
          <w:bCs/>
        </w:rPr>
        <w:t>nderseits lassen sich Lösungen</w:t>
      </w:r>
      <w:r w:rsidR="00141F0B">
        <w:rPr>
          <w:rFonts w:ascii="Arial" w:hAnsi="Arial" w:cs="Arial"/>
          <w:bCs/>
        </w:rPr>
        <w:t xml:space="preserve"> </w:t>
      </w:r>
      <w:r w:rsidR="00EB65CC">
        <w:rPr>
          <w:rFonts w:ascii="Arial" w:hAnsi="Arial" w:cs="Arial"/>
          <w:bCs/>
        </w:rPr>
        <w:t xml:space="preserve">finden, die sowohl das </w:t>
      </w:r>
      <w:r w:rsidR="0090601F">
        <w:rPr>
          <w:rFonts w:ascii="Arial" w:hAnsi="Arial" w:cs="Arial"/>
          <w:bCs/>
        </w:rPr>
        <w:t>Demokratie</w:t>
      </w:r>
      <w:r w:rsidR="00EB65CC">
        <w:rPr>
          <w:rFonts w:ascii="Arial" w:hAnsi="Arial" w:cs="Arial"/>
          <w:bCs/>
        </w:rPr>
        <w:t>prinzip</w:t>
      </w:r>
      <w:r w:rsidR="0090601F">
        <w:rPr>
          <w:rFonts w:ascii="Arial" w:hAnsi="Arial" w:cs="Arial"/>
          <w:bCs/>
        </w:rPr>
        <w:t xml:space="preserve"> als </w:t>
      </w:r>
      <w:r w:rsidR="003D1805">
        <w:rPr>
          <w:rFonts w:ascii="Arial" w:hAnsi="Arial" w:cs="Arial"/>
          <w:bCs/>
        </w:rPr>
        <w:t xml:space="preserve">auch </w:t>
      </w:r>
      <w:r w:rsidR="00EB65CC">
        <w:rPr>
          <w:rFonts w:ascii="Arial" w:hAnsi="Arial" w:cs="Arial"/>
          <w:bCs/>
        </w:rPr>
        <w:t>die mit d</w:t>
      </w:r>
      <w:r w:rsidR="0090601F">
        <w:rPr>
          <w:rFonts w:ascii="Arial" w:hAnsi="Arial" w:cs="Arial"/>
          <w:bCs/>
        </w:rPr>
        <w:t xml:space="preserve">er </w:t>
      </w:r>
      <w:r w:rsidR="00EB65CC">
        <w:rPr>
          <w:rFonts w:ascii="Arial" w:hAnsi="Arial" w:cs="Arial"/>
          <w:bCs/>
        </w:rPr>
        <w:t xml:space="preserve">Demokratie </w:t>
      </w:r>
      <w:r w:rsidR="0090601F">
        <w:rPr>
          <w:rFonts w:ascii="Arial" w:hAnsi="Arial" w:cs="Arial"/>
          <w:bCs/>
        </w:rPr>
        <w:t>untrennbar verbundenen Grund- und Menschenrechte wahren</w:t>
      </w:r>
      <w:r>
        <w:rPr>
          <w:rFonts w:ascii="Arial" w:hAnsi="Arial" w:cs="Arial"/>
          <w:bCs/>
        </w:rPr>
        <w:t xml:space="preserve"> und rechtlich durchaus griffig gestaltet werden können</w:t>
      </w:r>
      <w:r w:rsidR="00EB65CC">
        <w:rPr>
          <w:rFonts w:ascii="Arial" w:hAnsi="Arial" w:cs="Arial"/>
          <w:bCs/>
        </w:rPr>
        <w:t>. In verschiedenen Publikationen</w:t>
      </w:r>
      <w:r w:rsidR="00431B73">
        <w:rPr>
          <w:rStyle w:val="Funotenzeichen"/>
          <w:rFonts w:ascii="Arial" w:hAnsi="Arial" w:cs="Arial"/>
          <w:bCs/>
        </w:rPr>
        <w:footnoteReference w:id="3"/>
      </w:r>
      <w:r w:rsidR="00C4147D">
        <w:rPr>
          <w:rFonts w:ascii="Arial" w:hAnsi="Arial" w:cs="Arial"/>
          <w:bCs/>
        </w:rPr>
        <w:t xml:space="preserve"> </w:t>
      </w:r>
      <w:r w:rsidR="00EB65CC">
        <w:rPr>
          <w:rFonts w:ascii="Arial" w:hAnsi="Arial" w:cs="Arial"/>
          <w:bCs/>
        </w:rPr>
        <w:t xml:space="preserve">hat der Verfasser, wie andere auch, </w:t>
      </w:r>
      <w:r w:rsidR="00736200">
        <w:rPr>
          <w:rFonts w:ascii="Arial" w:hAnsi="Arial" w:cs="Arial"/>
          <w:bCs/>
        </w:rPr>
        <w:t xml:space="preserve">auf </w:t>
      </w:r>
      <w:r>
        <w:rPr>
          <w:rFonts w:ascii="Arial" w:hAnsi="Arial" w:cs="Arial"/>
          <w:bCs/>
        </w:rPr>
        <w:t>die</w:t>
      </w:r>
      <w:r w:rsidR="00EB65CC">
        <w:rPr>
          <w:rFonts w:ascii="Arial" w:hAnsi="Arial" w:cs="Arial"/>
          <w:bCs/>
        </w:rPr>
        <w:t xml:space="preserve"> ungelösten</w:t>
      </w:r>
      <w:r>
        <w:rPr>
          <w:rFonts w:ascii="Arial" w:hAnsi="Arial" w:cs="Arial"/>
          <w:bCs/>
        </w:rPr>
        <w:t xml:space="preserve"> schwerwiegenden Probleme </w:t>
      </w:r>
      <w:r w:rsidR="00736200">
        <w:rPr>
          <w:rFonts w:ascii="Arial" w:hAnsi="Arial" w:cs="Arial"/>
          <w:bCs/>
        </w:rPr>
        <w:t xml:space="preserve">hingewiesen und </w:t>
      </w:r>
      <w:r w:rsidR="00C4147D">
        <w:rPr>
          <w:rFonts w:ascii="Arial" w:hAnsi="Arial" w:cs="Arial"/>
          <w:bCs/>
        </w:rPr>
        <w:t xml:space="preserve">eine </w:t>
      </w:r>
      <w:r w:rsidR="00736200">
        <w:rPr>
          <w:rFonts w:ascii="Arial" w:hAnsi="Arial" w:cs="Arial"/>
          <w:bCs/>
        </w:rPr>
        <w:t xml:space="preserve">Erweiterung der Ungültigkeitsgründe für eidgenössische Volksinitiativen auf Teilrevision der Bundesverfassung gefordert wie </w:t>
      </w:r>
      <w:r w:rsidR="00C4147D">
        <w:rPr>
          <w:rFonts w:ascii="Arial" w:hAnsi="Arial" w:cs="Arial"/>
          <w:bCs/>
        </w:rPr>
        <w:t xml:space="preserve">auch </w:t>
      </w:r>
      <w:r w:rsidR="00615BCB">
        <w:rPr>
          <w:rFonts w:ascii="Arial" w:hAnsi="Arial" w:cs="Arial"/>
          <w:bCs/>
        </w:rPr>
        <w:t xml:space="preserve">konkret </w:t>
      </w:r>
      <w:r w:rsidR="00C4147D">
        <w:rPr>
          <w:rFonts w:ascii="Arial" w:hAnsi="Arial" w:cs="Arial"/>
          <w:bCs/>
        </w:rPr>
        <w:t>vorgeschlagen. D</w:t>
      </w:r>
      <w:r w:rsidR="00EB65CC">
        <w:rPr>
          <w:rFonts w:ascii="Arial" w:hAnsi="Arial" w:cs="Arial"/>
          <w:bCs/>
        </w:rPr>
        <w:t>iese sollen hier zusammengeführt</w:t>
      </w:r>
      <w:r w:rsidR="003D1805">
        <w:rPr>
          <w:rFonts w:ascii="Arial" w:hAnsi="Arial" w:cs="Arial"/>
          <w:bCs/>
        </w:rPr>
        <w:t xml:space="preserve">, </w:t>
      </w:r>
      <w:r w:rsidR="00742DE7">
        <w:rPr>
          <w:rFonts w:ascii="Arial" w:hAnsi="Arial" w:cs="Arial"/>
          <w:bCs/>
        </w:rPr>
        <w:t xml:space="preserve">rechtlich vertieft </w:t>
      </w:r>
      <w:r w:rsidR="00615BCB">
        <w:rPr>
          <w:rFonts w:ascii="Arial" w:hAnsi="Arial" w:cs="Arial"/>
          <w:bCs/>
        </w:rPr>
        <w:t>und</w:t>
      </w:r>
      <w:r w:rsidR="00973230">
        <w:rPr>
          <w:rFonts w:ascii="Arial" w:hAnsi="Arial" w:cs="Arial"/>
          <w:bCs/>
        </w:rPr>
        <w:t xml:space="preserve"> </w:t>
      </w:r>
      <w:r w:rsidR="00C4147D">
        <w:rPr>
          <w:rFonts w:ascii="Arial" w:hAnsi="Arial" w:cs="Arial"/>
          <w:bCs/>
        </w:rPr>
        <w:t xml:space="preserve">aktualisiert werden, als Hommage an seinen sehr geschätzten Kollegen Claude </w:t>
      </w:r>
      <w:proofErr w:type="spellStart"/>
      <w:r w:rsidR="00C4147D">
        <w:rPr>
          <w:rFonts w:ascii="Arial" w:hAnsi="Arial" w:cs="Arial"/>
          <w:bCs/>
        </w:rPr>
        <w:t>Rou</w:t>
      </w:r>
      <w:r w:rsidR="00736200">
        <w:rPr>
          <w:rFonts w:ascii="Arial" w:hAnsi="Arial" w:cs="Arial"/>
          <w:bCs/>
        </w:rPr>
        <w:t>ill</w:t>
      </w:r>
      <w:r w:rsidR="00C4147D">
        <w:rPr>
          <w:rFonts w:ascii="Arial" w:hAnsi="Arial" w:cs="Arial"/>
          <w:bCs/>
        </w:rPr>
        <w:t>er</w:t>
      </w:r>
      <w:proofErr w:type="spellEnd"/>
      <w:r w:rsidR="00C4147D">
        <w:rPr>
          <w:rFonts w:ascii="Arial" w:hAnsi="Arial" w:cs="Arial"/>
          <w:bCs/>
        </w:rPr>
        <w:t xml:space="preserve">, der </w:t>
      </w:r>
      <w:r w:rsidR="00736200">
        <w:rPr>
          <w:rFonts w:ascii="Arial" w:hAnsi="Arial" w:cs="Arial"/>
          <w:bCs/>
        </w:rPr>
        <w:t>selber auch stets u</w:t>
      </w:r>
      <w:r w:rsidR="00615BCB">
        <w:rPr>
          <w:rFonts w:ascii="Arial" w:hAnsi="Arial" w:cs="Arial"/>
          <w:bCs/>
        </w:rPr>
        <w:t>nverbrüchlich für das Recht</w:t>
      </w:r>
      <w:r w:rsidR="003D1805">
        <w:rPr>
          <w:rFonts w:ascii="Arial" w:hAnsi="Arial" w:cs="Arial"/>
          <w:bCs/>
        </w:rPr>
        <w:t xml:space="preserve"> </w:t>
      </w:r>
      <w:r w:rsidR="002726BE">
        <w:rPr>
          <w:rFonts w:ascii="Arial" w:hAnsi="Arial" w:cs="Arial"/>
          <w:bCs/>
        </w:rPr>
        <w:t xml:space="preserve">als Grundlage der Demokratie </w:t>
      </w:r>
      <w:r w:rsidR="003D1805">
        <w:rPr>
          <w:rFonts w:ascii="Arial" w:hAnsi="Arial" w:cs="Arial"/>
          <w:bCs/>
        </w:rPr>
        <w:t xml:space="preserve">eintritt, und beide </w:t>
      </w:r>
      <w:r w:rsidR="00D508A0">
        <w:rPr>
          <w:rFonts w:ascii="Arial" w:hAnsi="Arial" w:cs="Arial"/>
          <w:bCs/>
        </w:rPr>
        <w:t xml:space="preserve">tun </w:t>
      </w:r>
      <w:r w:rsidR="00EB65CC">
        <w:rPr>
          <w:rFonts w:ascii="Arial" w:hAnsi="Arial" w:cs="Arial"/>
          <w:bCs/>
        </w:rPr>
        <w:t xml:space="preserve">wir </w:t>
      </w:r>
      <w:r w:rsidR="00D508A0">
        <w:rPr>
          <w:rFonts w:ascii="Arial" w:hAnsi="Arial" w:cs="Arial"/>
          <w:bCs/>
        </w:rPr>
        <w:t xml:space="preserve">dies </w:t>
      </w:r>
      <w:r w:rsidR="003D1805">
        <w:rPr>
          <w:rFonts w:ascii="Arial" w:hAnsi="Arial" w:cs="Arial"/>
          <w:bCs/>
        </w:rPr>
        <w:t xml:space="preserve">gerade als mit der direkten Demokratie von ihrer Herkunft her </w:t>
      </w:r>
      <w:r w:rsidR="003D1805">
        <w:rPr>
          <w:rFonts w:ascii="Arial" w:hAnsi="Arial" w:cs="Arial"/>
          <w:bCs/>
        </w:rPr>
        <w:lastRenderedPageBreak/>
        <w:t xml:space="preserve">eng </w:t>
      </w:r>
      <w:proofErr w:type="spellStart"/>
      <w:r w:rsidR="003D1805">
        <w:rPr>
          <w:rFonts w:ascii="Arial" w:hAnsi="Arial" w:cs="Arial"/>
          <w:bCs/>
        </w:rPr>
        <w:t>vertraute</w:t>
      </w:r>
      <w:proofErr w:type="spellEnd"/>
      <w:r w:rsidR="003D1805">
        <w:rPr>
          <w:rFonts w:ascii="Arial" w:hAnsi="Arial" w:cs="Arial"/>
          <w:bCs/>
        </w:rPr>
        <w:t xml:space="preserve"> und verbundene Staatsbürger.</w:t>
      </w:r>
      <w:r w:rsidR="002726BE">
        <w:rPr>
          <w:rFonts w:ascii="Arial" w:hAnsi="Arial" w:cs="Arial"/>
          <w:bCs/>
        </w:rPr>
        <w:t xml:space="preserve"> Den unabhängigen Richter und Juristen zeichnet aus, dass er für seine rechtliche Überzeugung unabhängig davon eintritt, ob sie bei der Politik gut oder schlecht ankommt und auch ob sie in einer politischen Lage, wie der gegenwärtigen, in der eine </w:t>
      </w:r>
      <w:r w:rsidR="00431B73">
        <w:rPr>
          <w:rFonts w:ascii="Arial" w:hAnsi="Arial" w:cs="Arial"/>
          <w:bCs/>
        </w:rPr>
        <w:t xml:space="preserve">nicht haltbare </w:t>
      </w:r>
      <w:r w:rsidR="002726BE">
        <w:rPr>
          <w:rFonts w:ascii="Arial" w:hAnsi="Arial" w:cs="Arial"/>
          <w:bCs/>
        </w:rPr>
        <w:t>populistische Überhöhung des Volkswillens sonst weitgehend unwidersprochen bleibt, Aussicht auf Erfolg hat oder nicht</w:t>
      </w:r>
      <w:r w:rsidR="001535FF">
        <w:rPr>
          <w:rFonts w:ascii="Arial" w:hAnsi="Arial" w:cs="Arial"/>
          <w:bCs/>
        </w:rPr>
        <w:t>.</w:t>
      </w:r>
    </w:p>
    <w:p w14:paraId="47BF1623" w14:textId="77777777" w:rsidR="001535FF" w:rsidRDefault="001535FF" w:rsidP="0001730B">
      <w:pPr>
        <w:widowControl w:val="0"/>
        <w:autoSpaceDE w:val="0"/>
        <w:autoSpaceDN w:val="0"/>
        <w:adjustRightInd w:val="0"/>
        <w:rPr>
          <w:rFonts w:ascii="Arial" w:hAnsi="Arial" w:cs="Arial"/>
          <w:bCs/>
        </w:rPr>
      </w:pPr>
    </w:p>
    <w:p w14:paraId="16ABE9B5" w14:textId="5AEF1FC2" w:rsidR="001535FF" w:rsidRPr="001535FF" w:rsidRDefault="001E6C2D" w:rsidP="00EC2366">
      <w:pPr>
        <w:widowControl w:val="0"/>
        <w:autoSpaceDE w:val="0"/>
        <w:autoSpaceDN w:val="0"/>
        <w:adjustRightInd w:val="0"/>
        <w:outlineLvl w:val="0"/>
        <w:rPr>
          <w:rFonts w:ascii="Arial" w:hAnsi="Arial" w:cs="Arial"/>
          <w:b/>
          <w:bCs/>
          <w:lang w:val="de-CH"/>
        </w:rPr>
      </w:pPr>
      <w:r>
        <w:rPr>
          <w:rFonts w:ascii="Arial" w:hAnsi="Arial" w:cs="Arial"/>
          <w:b/>
          <w:bCs/>
          <w:lang w:val="de-CH"/>
        </w:rPr>
        <w:t>2</w:t>
      </w:r>
      <w:r w:rsidR="001535FF" w:rsidRPr="001535FF">
        <w:rPr>
          <w:rFonts w:ascii="Arial" w:hAnsi="Arial" w:cs="Arial"/>
          <w:b/>
          <w:bCs/>
          <w:lang w:val="de-CH"/>
        </w:rPr>
        <w:t xml:space="preserve">. Die geltenden </w:t>
      </w:r>
      <w:r w:rsidR="00FE7E32">
        <w:rPr>
          <w:rFonts w:ascii="Arial" w:hAnsi="Arial" w:cs="Arial"/>
          <w:b/>
          <w:bCs/>
          <w:lang w:val="de-CH"/>
        </w:rPr>
        <w:t xml:space="preserve">materiellen </w:t>
      </w:r>
      <w:r w:rsidR="001535FF" w:rsidRPr="001535FF">
        <w:rPr>
          <w:rFonts w:ascii="Arial" w:hAnsi="Arial" w:cs="Arial"/>
          <w:b/>
          <w:bCs/>
          <w:lang w:val="de-CH"/>
        </w:rPr>
        <w:t>Ungültigkeitsgründe</w:t>
      </w:r>
    </w:p>
    <w:p w14:paraId="5C317B86" w14:textId="50DA965E" w:rsidR="001535FF" w:rsidRPr="001535FF" w:rsidRDefault="001535FF" w:rsidP="001535FF">
      <w:pPr>
        <w:widowControl w:val="0"/>
        <w:autoSpaceDE w:val="0"/>
        <w:autoSpaceDN w:val="0"/>
        <w:adjustRightInd w:val="0"/>
        <w:rPr>
          <w:rFonts w:ascii="Arial" w:hAnsi="Arial" w:cs="Arial"/>
          <w:bCs/>
        </w:rPr>
      </w:pPr>
      <w:r w:rsidRPr="001535FF">
        <w:rPr>
          <w:rFonts w:ascii="Arial" w:hAnsi="Arial" w:cs="Arial"/>
          <w:bCs/>
        </w:rPr>
        <w:t xml:space="preserve">Nach Art. 139 Abs. 3 BV </w:t>
      </w:r>
      <w:r w:rsidRPr="001535FF">
        <w:rPr>
          <w:rFonts w:ascii="Arial" w:hAnsi="Arial" w:cs="Arial"/>
          <w:bCs/>
          <w:lang w:val="de-CH"/>
        </w:rPr>
        <w:t>erklärt die Bundesversammlung eine Volksinitiative auf Teilrevision der Bundesverf</w:t>
      </w:r>
      <w:r w:rsidR="00FE7E32">
        <w:rPr>
          <w:rFonts w:ascii="Arial" w:hAnsi="Arial" w:cs="Arial"/>
          <w:bCs/>
          <w:lang w:val="de-CH"/>
        </w:rPr>
        <w:t>assung, die „</w:t>
      </w:r>
      <w:r w:rsidRPr="001535FF">
        <w:rPr>
          <w:rFonts w:ascii="Arial" w:hAnsi="Arial" w:cs="Arial"/>
          <w:bCs/>
          <w:lang w:val="de-CH"/>
        </w:rPr>
        <w:t xml:space="preserve">zwingende Bestimmungen des Völkerrechts“ verletzt für ganz oder teilweise ungültig. </w:t>
      </w:r>
      <w:r w:rsidRPr="001535FF">
        <w:rPr>
          <w:rFonts w:ascii="Arial" w:hAnsi="Arial" w:cs="Arial"/>
          <w:bCs/>
        </w:rPr>
        <w:t xml:space="preserve">Gleichzeitig wurde </w:t>
      </w:r>
      <w:r w:rsidR="0073364C">
        <w:rPr>
          <w:rFonts w:ascii="Arial" w:hAnsi="Arial" w:cs="Arial"/>
          <w:bCs/>
        </w:rPr>
        <w:t xml:space="preserve">bei der Nachführung der Bundesverfassung </w:t>
      </w:r>
      <w:r w:rsidRPr="001535FF">
        <w:rPr>
          <w:rFonts w:ascii="Arial" w:hAnsi="Arial" w:cs="Arial"/>
          <w:bCs/>
        </w:rPr>
        <w:t>festgeh</w:t>
      </w:r>
      <w:r w:rsidR="00FE7E32">
        <w:rPr>
          <w:rFonts w:ascii="Arial" w:hAnsi="Arial" w:cs="Arial"/>
          <w:bCs/>
        </w:rPr>
        <w:t>alten, dass diese Schranke</w:t>
      </w:r>
      <w:r w:rsidRPr="001535FF">
        <w:rPr>
          <w:rFonts w:ascii="Arial" w:hAnsi="Arial" w:cs="Arial"/>
          <w:bCs/>
        </w:rPr>
        <w:t xml:space="preserve"> nicht nur für Volksinitiativen, sondern auch für Behördenvorlagen gelte</w:t>
      </w:r>
      <w:r w:rsidR="00EB65CC">
        <w:rPr>
          <w:rFonts w:ascii="Arial" w:hAnsi="Arial" w:cs="Arial"/>
          <w:bCs/>
        </w:rPr>
        <w:t xml:space="preserve">. </w:t>
      </w:r>
      <w:r w:rsidR="00EB65CC" w:rsidRPr="001535FF">
        <w:rPr>
          <w:rFonts w:ascii="Arial" w:hAnsi="Arial" w:cs="Arial"/>
          <w:bCs/>
        </w:rPr>
        <w:t>Das Erfordernis, dass eine In</w:t>
      </w:r>
      <w:r w:rsidR="00EB65CC">
        <w:rPr>
          <w:rFonts w:ascii="Arial" w:hAnsi="Arial" w:cs="Arial"/>
          <w:bCs/>
        </w:rPr>
        <w:t xml:space="preserve">itiative </w:t>
      </w:r>
      <w:proofErr w:type="spellStart"/>
      <w:r w:rsidR="00EB65CC">
        <w:rPr>
          <w:rFonts w:ascii="Arial" w:hAnsi="Arial" w:cs="Arial"/>
          <w:bCs/>
        </w:rPr>
        <w:t>durchführbar</w:t>
      </w:r>
      <w:proofErr w:type="spellEnd"/>
      <w:r w:rsidR="00EB65CC">
        <w:rPr>
          <w:rFonts w:ascii="Arial" w:hAnsi="Arial" w:cs="Arial"/>
          <w:bCs/>
        </w:rPr>
        <w:t xml:space="preserve"> sein müsse</w:t>
      </w:r>
      <w:r w:rsidR="00EB65CC" w:rsidRPr="001535FF">
        <w:rPr>
          <w:rFonts w:ascii="Arial" w:hAnsi="Arial" w:cs="Arial"/>
          <w:bCs/>
        </w:rPr>
        <w:t xml:space="preserve">, wurde </w:t>
      </w:r>
      <w:r w:rsidR="00EB65CC">
        <w:rPr>
          <w:rFonts w:ascii="Arial" w:hAnsi="Arial" w:cs="Arial"/>
          <w:bCs/>
        </w:rPr>
        <w:t xml:space="preserve">zudem </w:t>
      </w:r>
      <w:r w:rsidR="00EB65CC" w:rsidRPr="001535FF">
        <w:rPr>
          <w:rFonts w:ascii="Arial" w:hAnsi="Arial" w:cs="Arial"/>
          <w:bCs/>
        </w:rPr>
        <w:t xml:space="preserve">als selbstverständlich und eine </w:t>
      </w:r>
      <w:proofErr w:type="spellStart"/>
      <w:r w:rsidR="00EB65CC" w:rsidRPr="001535FF">
        <w:rPr>
          <w:rFonts w:ascii="Arial" w:hAnsi="Arial" w:cs="Arial"/>
          <w:bCs/>
        </w:rPr>
        <w:t>ausdrückliche</w:t>
      </w:r>
      <w:proofErr w:type="spellEnd"/>
      <w:r w:rsidR="00EB65CC" w:rsidRPr="001535FF">
        <w:rPr>
          <w:rFonts w:ascii="Arial" w:hAnsi="Arial" w:cs="Arial"/>
          <w:bCs/>
        </w:rPr>
        <w:t xml:space="preserve"> Verankerung im Verfassungstext daher als </w:t>
      </w:r>
      <w:proofErr w:type="spellStart"/>
      <w:r w:rsidR="00EB65CC" w:rsidRPr="001535FF">
        <w:rPr>
          <w:rFonts w:ascii="Arial" w:hAnsi="Arial" w:cs="Arial"/>
          <w:bCs/>
        </w:rPr>
        <w:t>überflüssig</w:t>
      </w:r>
      <w:proofErr w:type="spellEnd"/>
      <w:r w:rsidR="00EB65CC" w:rsidRPr="001535FF">
        <w:rPr>
          <w:rFonts w:ascii="Arial" w:hAnsi="Arial" w:cs="Arial"/>
          <w:bCs/>
        </w:rPr>
        <w:t xml:space="preserve"> betrachtet</w:t>
      </w:r>
      <w:r w:rsidR="00EB65CC" w:rsidRPr="001535FF">
        <w:rPr>
          <w:rFonts w:ascii="Arial" w:hAnsi="Arial" w:cs="Arial"/>
          <w:bCs/>
          <w:vertAlign w:val="superscript"/>
        </w:rPr>
        <w:t xml:space="preserve"> </w:t>
      </w:r>
      <w:r w:rsidRPr="001535FF">
        <w:rPr>
          <w:rFonts w:ascii="Arial" w:hAnsi="Arial" w:cs="Arial"/>
          <w:bCs/>
          <w:vertAlign w:val="superscript"/>
        </w:rPr>
        <w:footnoteReference w:id="4"/>
      </w:r>
      <w:r w:rsidR="00EB65CC" w:rsidRPr="001535FF">
        <w:rPr>
          <w:rFonts w:ascii="Arial" w:hAnsi="Arial" w:cs="Arial"/>
          <w:bCs/>
        </w:rPr>
        <w:t>.</w:t>
      </w:r>
    </w:p>
    <w:p w14:paraId="715CBB6A" w14:textId="77777777" w:rsidR="001535FF" w:rsidRPr="001535FF" w:rsidRDefault="001535FF" w:rsidP="001535FF">
      <w:pPr>
        <w:widowControl w:val="0"/>
        <w:autoSpaceDE w:val="0"/>
        <w:autoSpaceDN w:val="0"/>
        <w:adjustRightInd w:val="0"/>
        <w:rPr>
          <w:rFonts w:ascii="Arial" w:hAnsi="Arial" w:cs="Arial"/>
          <w:bCs/>
        </w:rPr>
      </w:pPr>
    </w:p>
    <w:p w14:paraId="0D8EB564" w14:textId="7FA386BF" w:rsidR="001535FF" w:rsidRPr="001535FF" w:rsidRDefault="001535FF" w:rsidP="001535FF">
      <w:pPr>
        <w:widowControl w:val="0"/>
        <w:autoSpaceDE w:val="0"/>
        <w:autoSpaceDN w:val="0"/>
        <w:adjustRightInd w:val="0"/>
        <w:rPr>
          <w:rFonts w:ascii="Arial" w:hAnsi="Arial" w:cs="Arial"/>
          <w:bCs/>
          <w:lang w:val="de-CH"/>
        </w:rPr>
      </w:pPr>
      <w:r w:rsidRPr="001535FF">
        <w:rPr>
          <w:rFonts w:ascii="Arial" w:hAnsi="Arial" w:cs="Arial"/>
          <w:bCs/>
          <w:lang w:val="de-CH"/>
        </w:rPr>
        <w:t xml:space="preserve">Damit geht das positive Recht davon aus, dass Volksinitiativen auf Änderung der Bundesverfassung Grenzen des Rechts gesetzt sind. </w:t>
      </w:r>
      <w:r w:rsidR="0073364C">
        <w:rPr>
          <w:rFonts w:ascii="Arial" w:hAnsi="Arial" w:cs="Arial"/>
          <w:bCs/>
          <w:lang w:val="de-CH"/>
        </w:rPr>
        <w:t xml:space="preserve">Damit </w:t>
      </w:r>
      <w:r w:rsidR="00DC3BEA">
        <w:rPr>
          <w:rFonts w:ascii="Arial" w:hAnsi="Arial" w:cs="Arial"/>
          <w:bCs/>
          <w:lang w:val="de-CH"/>
        </w:rPr>
        <w:t xml:space="preserve">darf </w:t>
      </w:r>
      <w:r w:rsidR="0073364C">
        <w:rPr>
          <w:rFonts w:ascii="Arial" w:hAnsi="Arial" w:cs="Arial"/>
          <w:bCs/>
          <w:lang w:val="de-CH"/>
        </w:rPr>
        <w:t xml:space="preserve">dem </w:t>
      </w:r>
      <w:r w:rsidR="00DC3BEA">
        <w:rPr>
          <w:rFonts w:ascii="Arial" w:hAnsi="Arial" w:cs="Arial"/>
          <w:bCs/>
          <w:lang w:val="de-CH"/>
        </w:rPr>
        <w:t xml:space="preserve">Volk mit Initiativen auf </w:t>
      </w:r>
      <w:r w:rsidRPr="001535FF">
        <w:rPr>
          <w:rFonts w:ascii="Arial" w:hAnsi="Arial" w:cs="Arial"/>
          <w:bCs/>
          <w:lang w:val="de-CH"/>
        </w:rPr>
        <w:t xml:space="preserve">Teilrevisionen der Bundesverfassung, um die es in Art. 139 </w:t>
      </w:r>
      <w:r w:rsidR="00394B04">
        <w:rPr>
          <w:rFonts w:ascii="Arial" w:hAnsi="Arial" w:cs="Arial"/>
          <w:bCs/>
          <w:lang w:val="de-CH"/>
        </w:rPr>
        <w:t xml:space="preserve">BV </w:t>
      </w:r>
      <w:r w:rsidRPr="001535FF">
        <w:rPr>
          <w:rFonts w:ascii="Arial" w:hAnsi="Arial" w:cs="Arial"/>
          <w:bCs/>
          <w:lang w:val="de-CH"/>
        </w:rPr>
        <w:t>geht</w:t>
      </w:r>
      <w:r w:rsidR="00DC3BEA">
        <w:rPr>
          <w:rFonts w:ascii="Arial" w:hAnsi="Arial" w:cs="Arial"/>
          <w:bCs/>
          <w:lang w:val="de-CH"/>
        </w:rPr>
        <w:t>, nicht alles zur Abstimmung unterbreitet werden, und hat das Volk entgegen einem beliebten Slogan nicht immer Recht</w:t>
      </w:r>
      <w:r w:rsidRPr="001535FF">
        <w:rPr>
          <w:rFonts w:ascii="Arial" w:hAnsi="Arial" w:cs="Arial"/>
          <w:bCs/>
          <w:lang w:val="de-CH"/>
        </w:rPr>
        <w:t xml:space="preserve">. </w:t>
      </w:r>
      <w:r w:rsidR="00DC3BEA">
        <w:rPr>
          <w:rFonts w:ascii="Arial" w:hAnsi="Arial" w:cs="Arial"/>
          <w:bCs/>
          <w:lang w:val="de-CH"/>
        </w:rPr>
        <w:t xml:space="preserve">Gemäss </w:t>
      </w:r>
      <w:r w:rsidRPr="001535FF">
        <w:rPr>
          <w:rFonts w:ascii="Arial" w:hAnsi="Arial" w:cs="Arial"/>
          <w:bCs/>
          <w:lang w:val="de-CH"/>
        </w:rPr>
        <w:t xml:space="preserve">Art. 193 </w:t>
      </w:r>
      <w:r w:rsidR="00DC3BEA">
        <w:rPr>
          <w:rFonts w:ascii="Arial" w:hAnsi="Arial" w:cs="Arial"/>
          <w:bCs/>
          <w:lang w:val="de-CH"/>
        </w:rPr>
        <w:t xml:space="preserve">Abs. 4 BV ist </w:t>
      </w:r>
      <w:r w:rsidRPr="001535FF">
        <w:rPr>
          <w:rFonts w:ascii="Arial" w:hAnsi="Arial" w:cs="Arial"/>
          <w:bCs/>
          <w:lang w:val="de-CH"/>
        </w:rPr>
        <w:t>eine Verletzung zwingender Bestimmu</w:t>
      </w:r>
      <w:r w:rsidR="00AE7743">
        <w:rPr>
          <w:rFonts w:ascii="Arial" w:hAnsi="Arial" w:cs="Arial"/>
          <w:bCs/>
          <w:lang w:val="de-CH"/>
        </w:rPr>
        <w:t xml:space="preserve">ngen des Völkerrechts </w:t>
      </w:r>
      <w:r w:rsidR="00DC3BEA">
        <w:rPr>
          <w:rFonts w:ascii="Arial" w:hAnsi="Arial" w:cs="Arial"/>
          <w:bCs/>
          <w:lang w:val="de-CH"/>
        </w:rPr>
        <w:t>selbst bei einer Totalrevision der Bundesverfassung unzulässig</w:t>
      </w:r>
      <w:proofErr w:type="gramStart"/>
      <w:r w:rsidR="00DC3BEA">
        <w:rPr>
          <w:rFonts w:ascii="Arial" w:hAnsi="Arial" w:cs="Arial"/>
          <w:bCs/>
          <w:lang w:val="de-CH"/>
        </w:rPr>
        <w:t>.</w:t>
      </w:r>
      <w:r w:rsidR="001E6C2D">
        <w:rPr>
          <w:rFonts w:ascii="Arial" w:hAnsi="Arial" w:cs="Arial"/>
          <w:bCs/>
          <w:lang w:val="de-CH"/>
        </w:rPr>
        <w:t>.</w:t>
      </w:r>
      <w:proofErr w:type="gramEnd"/>
    </w:p>
    <w:p w14:paraId="2BEBCF3C" w14:textId="77777777" w:rsidR="001535FF" w:rsidRPr="001535FF" w:rsidRDefault="001535FF" w:rsidP="001535FF">
      <w:pPr>
        <w:widowControl w:val="0"/>
        <w:autoSpaceDE w:val="0"/>
        <w:autoSpaceDN w:val="0"/>
        <w:adjustRightInd w:val="0"/>
        <w:rPr>
          <w:rFonts w:ascii="Arial" w:hAnsi="Arial" w:cs="Arial"/>
          <w:bCs/>
          <w:lang w:val="de-CH"/>
        </w:rPr>
      </w:pPr>
    </w:p>
    <w:p w14:paraId="304DF68F" w14:textId="0842D142" w:rsidR="001535FF" w:rsidRPr="001535FF" w:rsidRDefault="001535FF" w:rsidP="00AA1A30">
      <w:pPr>
        <w:widowControl w:val="0"/>
        <w:autoSpaceDE w:val="0"/>
        <w:autoSpaceDN w:val="0"/>
        <w:adjustRightInd w:val="0"/>
        <w:outlineLvl w:val="0"/>
        <w:rPr>
          <w:rFonts w:ascii="Arial" w:hAnsi="Arial" w:cs="Arial"/>
          <w:b/>
          <w:bCs/>
          <w:lang w:val="de-CH"/>
        </w:rPr>
      </w:pPr>
      <w:r w:rsidRPr="001535FF">
        <w:rPr>
          <w:rFonts w:ascii="Arial" w:hAnsi="Arial" w:cs="Arial"/>
          <w:b/>
          <w:bCs/>
          <w:lang w:val="de-CH"/>
        </w:rPr>
        <w:t>2.1.</w:t>
      </w:r>
      <w:r w:rsidRPr="001535FF">
        <w:rPr>
          <w:rFonts w:ascii="Arial" w:hAnsi="Arial" w:cs="Arial"/>
          <w:bCs/>
          <w:lang w:val="de-CH"/>
        </w:rPr>
        <w:t xml:space="preserve"> </w:t>
      </w:r>
      <w:r w:rsidRPr="001535FF">
        <w:rPr>
          <w:rFonts w:ascii="Arial" w:hAnsi="Arial" w:cs="Arial"/>
          <w:b/>
          <w:bCs/>
          <w:lang w:val="de-CH"/>
        </w:rPr>
        <w:t xml:space="preserve">Zwingendes Völkerrecht </w:t>
      </w:r>
    </w:p>
    <w:p w14:paraId="1081C4A4" w14:textId="22A236BC" w:rsidR="001535FF" w:rsidRPr="00EC2366" w:rsidRDefault="001535FF" w:rsidP="00EC2366">
      <w:pPr>
        <w:widowControl w:val="0"/>
        <w:autoSpaceDE w:val="0"/>
        <w:autoSpaceDN w:val="0"/>
        <w:adjustRightInd w:val="0"/>
        <w:outlineLvl w:val="0"/>
        <w:rPr>
          <w:rFonts w:ascii="Arial" w:hAnsi="Arial" w:cs="Arial"/>
          <w:b/>
          <w:bCs/>
          <w:lang w:val="de-CH"/>
        </w:rPr>
      </w:pPr>
      <w:r w:rsidRPr="001535FF">
        <w:rPr>
          <w:rFonts w:ascii="Arial" w:hAnsi="Arial" w:cs="Arial"/>
          <w:b/>
          <w:bCs/>
          <w:lang w:val="de-CH"/>
        </w:rPr>
        <w:t>2.1.1. Ursprüngliche Absicht</w:t>
      </w:r>
    </w:p>
    <w:p w14:paraId="72679E17" w14:textId="1580AA80" w:rsidR="00BD0068" w:rsidRDefault="001535FF" w:rsidP="001535FF">
      <w:pPr>
        <w:widowControl w:val="0"/>
        <w:autoSpaceDE w:val="0"/>
        <w:autoSpaceDN w:val="0"/>
        <w:adjustRightInd w:val="0"/>
        <w:rPr>
          <w:rFonts w:ascii="Arial" w:hAnsi="Arial" w:cs="Arial"/>
          <w:bCs/>
        </w:rPr>
      </w:pPr>
      <w:r w:rsidRPr="001535FF">
        <w:rPr>
          <w:rFonts w:ascii="Arial" w:hAnsi="Arial" w:cs="Arial"/>
          <w:bCs/>
        </w:rPr>
        <w:t>Der Ungültigkeitsgrund der Verletzung zw</w:t>
      </w:r>
      <w:r w:rsidR="00394B04">
        <w:rPr>
          <w:rFonts w:ascii="Arial" w:hAnsi="Arial" w:cs="Arial"/>
          <w:bCs/>
        </w:rPr>
        <w:t xml:space="preserve">ingenden Völkerrechts wurde in </w:t>
      </w:r>
      <w:r w:rsidRPr="001535FF">
        <w:rPr>
          <w:rFonts w:ascii="Arial" w:hAnsi="Arial" w:cs="Arial"/>
          <w:bCs/>
        </w:rPr>
        <w:t>der neuen Bu</w:t>
      </w:r>
      <w:r w:rsidR="00394B04">
        <w:rPr>
          <w:rFonts w:ascii="Arial" w:hAnsi="Arial" w:cs="Arial"/>
          <w:bCs/>
        </w:rPr>
        <w:t>ndesverfassung von 1999 im Rahmen ihrer</w:t>
      </w:r>
      <w:r w:rsidRPr="001535FF">
        <w:rPr>
          <w:rFonts w:ascii="Arial" w:hAnsi="Arial" w:cs="Arial"/>
          <w:bCs/>
        </w:rPr>
        <w:t xml:space="preserve"> Nachführung eingefügt. In seiner Botschaft dazu</w:t>
      </w:r>
      <w:r w:rsidRPr="001535FF">
        <w:rPr>
          <w:rFonts w:ascii="Arial" w:hAnsi="Arial" w:cs="Arial"/>
          <w:bCs/>
          <w:vertAlign w:val="superscript"/>
        </w:rPr>
        <w:footnoteReference w:id="5"/>
      </w:r>
      <w:r w:rsidRPr="001535FF">
        <w:rPr>
          <w:rFonts w:ascii="Arial" w:hAnsi="Arial" w:cs="Arial"/>
          <w:bCs/>
        </w:rPr>
        <w:t xml:space="preserve"> führte der Bundesrat aus, heikel sei die Frage, wie sich das Initiativrecht zum Vorrang des Völkerrechts verhalten solle, der heute als allgemein anerkannter Grundsatz gelte. Die Reformvorschläge wollten das Initiativrecht so weit als möglich schonen. Aus diesem Grund sollten nicht alle völkerrechtswidrigen Initiativen </w:t>
      </w:r>
      <w:proofErr w:type="spellStart"/>
      <w:r w:rsidRPr="001535FF">
        <w:rPr>
          <w:rFonts w:ascii="Arial" w:hAnsi="Arial" w:cs="Arial"/>
          <w:bCs/>
        </w:rPr>
        <w:t>ungültig</w:t>
      </w:r>
      <w:proofErr w:type="spellEnd"/>
      <w:r w:rsidRPr="001535FF">
        <w:rPr>
          <w:rFonts w:ascii="Arial" w:hAnsi="Arial" w:cs="Arial"/>
          <w:bCs/>
        </w:rPr>
        <w:t xml:space="preserve"> erklärt werden können, sondern nur solche, die gegen die zwingenden Bestimmungen des Völkerrechts </w:t>
      </w:r>
      <w:proofErr w:type="spellStart"/>
      <w:r w:rsidRPr="001535FF">
        <w:rPr>
          <w:rFonts w:ascii="Arial" w:hAnsi="Arial" w:cs="Arial"/>
          <w:bCs/>
        </w:rPr>
        <w:t>verstiessen</w:t>
      </w:r>
      <w:proofErr w:type="spellEnd"/>
      <w:r w:rsidRPr="001535FF">
        <w:rPr>
          <w:rFonts w:ascii="Arial" w:hAnsi="Arial" w:cs="Arial"/>
          <w:bCs/>
          <w:vertAlign w:val="superscript"/>
        </w:rPr>
        <w:footnoteReference w:id="6"/>
      </w:r>
      <w:r w:rsidRPr="001535FF">
        <w:rPr>
          <w:rFonts w:ascii="Arial" w:hAnsi="Arial" w:cs="Arial"/>
          <w:bCs/>
        </w:rPr>
        <w:t xml:space="preserve">. Diese Haltung entspreche der Auffassung der herrschenden Lehre, nach welcher „zumindest“ zwingendes Völkerrecht als inhaltliche Schranke der Verfassungsrevision anzuerkennen sei. Auch die Bundesversammlung habe in ihrer </w:t>
      </w:r>
      <w:proofErr w:type="spellStart"/>
      <w:r w:rsidRPr="001535FF">
        <w:rPr>
          <w:rFonts w:ascii="Arial" w:hAnsi="Arial" w:cs="Arial"/>
          <w:bCs/>
        </w:rPr>
        <w:t>jüngsten</w:t>
      </w:r>
      <w:proofErr w:type="spellEnd"/>
      <w:r w:rsidRPr="001535FF">
        <w:rPr>
          <w:rFonts w:ascii="Arial" w:hAnsi="Arial" w:cs="Arial"/>
          <w:bCs/>
        </w:rPr>
        <w:t xml:space="preserve"> Praxis zukunftsweisend bestätigt, dass </w:t>
      </w:r>
      <w:proofErr w:type="spellStart"/>
      <w:r w:rsidRPr="001535FF">
        <w:rPr>
          <w:rFonts w:ascii="Arial" w:hAnsi="Arial" w:cs="Arial"/>
          <w:bCs/>
        </w:rPr>
        <w:t>ius</w:t>
      </w:r>
      <w:proofErr w:type="spellEnd"/>
      <w:r w:rsidRPr="001535FF">
        <w:rPr>
          <w:rFonts w:ascii="Arial" w:hAnsi="Arial" w:cs="Arial"/>
          <w:bCs/>
        </w:rPr>
        <w:t xml:space="preserve"> </w:t>
      </w:r>
      <w:proofErr w:type="spellStart"/>
      <w:r w:rsidRPr="001535FF">
        <w:rPr>
          <w:rFonts w:ascii="Arial" w:hAnsi="Arial" w:cs="Arial"/>
          <w:bCs/>
        </w:rPr>
        <w:t>cogens</w:t>
      </w:r>
      <w:proofErr w:type="spellEnd"/>
      <w:r w:rsidRPr="001535FF">
        <w:rPr>
          <w:rFonts w:ascii="Arial" w:hAnsi="Arial" w:cs="Arial"/>
          <w:bCs/>
        </w:rPr>
        <w:t xml:space="preserve"> als inhaltliche Grenze jeder Verfassungsrevision anzusehen sei</w:t>
      </w:r>
      <w:r w:rsidRPr="001535FF">
        <w:rPr>
          <w:rFonts w:ascii="Arial" w:hAnsi="Arial" w:cs="Arial"/>
          <w:bCs/>
          <w:vertAlign w:val="superscript"/>
        </w:rPr>
        <w:footnoteReference w:id="7"/>
      </w:r>
      <w:r w:rsidRPr="001535FF">
        <w:rPr>
          <w:rFonts w:ascii="Arial" w:hAnsi="Arial" w:cs="Arial"/>
          <w:bCs/>
        </w:rPr>
        <w:t xml:space="preserve">. Es sei Aufgabe der Praxis, unter Einbezug der </w:t>
      </w:r>
      <w:r w:rsidRPr="001535FF">
        <w:rPr>
          <w:rFonts w:ascii="Arial" w:hAnsi="Arial" w:cs="Arial"/>
          <w:bCs/>
        </w:rPr>
        <w:lastRenderedPageBreak/>
        <w:t xml:space="preserve">Lehre eine Rechtsprechung zu entwickeln und letzte Klarheit </w:t>
      </w:r>
      <w:proofErr w:type="spellStart"/>
      <w:r w:rsidRPr="001535FF">
        <w:rPr>
          <w:rFonts w:ascii="Arial" w:hAnsi="Arial" w:cs="Arial"/>
          <w:bCs/>
        </w:rPr>
        <w:t>über</w:t>
      </w:r>
      <w:proofErr w:type="spellEnd"/>
      <w:r w:rsidRPr="001535FF">
        <w:rPr>
          <w:rFonts w:ascii="Arial" w:hAnsi="Arial" w:cs="Arial"/>
          <w:bCs/>
        </w:rPr>
        <w:t xml:space="preserve"> die Tragweite des Begriffs des «zwingenden </w:t>
      </w:r>
      <w:proofErr w:type="spellStart"/>
      <w:r w:rsidRPr="001535FF">
        <w:rPr>
          <w:rFonts w:ascii="Arial" w:hAnsi="Arial" w:cs="Arial"/>
          <w:bCs/>
        </w:rPr>
        <w:t>Völkerrechts</w:t>
      </w:r>
      <w:proofErr w:type="spellEnd"/>
      <w:r w:rsidRPr="001535FF">
        <w:rPr>
          <w:rFonts w:ascii="Arial" w:hAnsi="Arial" w:cs="Arial"/>
          <w:bCs/>
        </w:rPr>
        <w:t>» zu schaffen.</w:t>
      </w:r>
    </w:p>
    <w:p w14:paraId="14B2A704" w14:textId="77777777" w:rsidR="00BD0068" w:rsidRDefault="00BD0068" w:rsidP="001535FF">
      <w:pPr>
        <w:widowControl w:val="0"/>
        <w:autoSpaceDE w:val="0"/>
        <w:autoSpaceDN w:val="0"/>
        <w:adjustRightInd w:val="0"/>
        <w:rPr>
          <w:rFonts w:ascii="Arial" w:hAnsi="Arial" w:cs="Arial"/>
          <w:bCs/>
        </w:rPr>
      </w:pPr>
    </w:p>
    <w:p w14:paraId="19C5D0E8" w14:textId="77777777" w:rsidR="00AA1A30" w:rsidRDefault="001535FF" w:rsidP="001535FF">
      <w:pPr>
        <w:widowControl w:val="0"/>
        <w:autoSpaceDE w:val="0"/>
        <w:autoSpaceDN w:val="0"/>
        <w:adjustRightInd w:val="0"/>
        <w:rPr>
          <w:rFonts w:ascii="Arial" w:hAnsi="Arial" w:cs="Arial"/>
          <w:bCs/>
        </w:rPr>
      </w:pPr>
      <w:proofErr w:type="spellStart"/>
      <w:r w:rsidRPr="001535FF">
        <w:rPr>
          <w:rFonts w:ascii="Arial" w:hAnsi="Arial" w:cs="Arial"/>
          <w:bCs/>
        </w:rPr>
        <w:t>Abschliessend</w:t>
      </w:r>
      <w:proofErr w:type="spellEnd"/>
      <w:r w:rsidRPr="001535FF">
        <w:rPr>
          <w:rFonts w:ascii="Arial" w:hAnsi="Arial" w:cs="Arial"/>
          <w:bCs/>
        </w:rPr>
        <w:t xml:space="preserve"> hielt der Bundesrat fest, die präsentierte Schrankenregelung, die einzig die zwingenden Bestimmungen des Völkerrechts als materielle Schranke der Verfassungsrevision statuiert, gebe den heutigen Stand der Rechtslage wieder. Sie sei nicht </w:t>
      </w:r>
      <w:proofErr w:type="spellStart"/>
      <w:r w:rsidRPr="001535FF">
        <w:rPr>
          <w:rFonts w:ascii="Arial" w:hAnsi="Arial" w:cs="Arial"/>
          <w:bCs/>
        </w:rPr>
        <w:t>abschliessend</w:t>
      </w:r>
      <w:proofErr w:type="spellEnd"/>
      <w:r w:rsidRPr="001535FF">
        <w:rPr>
          <w:rFonts w:ascii="Arial" w:hAnsi="Arial" w:cs="Arial"/>
          <w:bCs/>
        </w:rPr>
        <w:t xml:space="preserve"> zu verstehen, sondern lasse Weiterentwicklungen in diesem Bereich zu.</w:t>
      </w:r>
      <w:r w:rsidR="00BD0068">
        <w:rPr>
          <w:rFonts w:ascii="Arial" w:hAnsi="Arial" w:cs="Arial"/>
          <w:bCs/>
        </w:rPr>
        <w:t xml:space="preserve"> </w:t>
      </w:r>
      <w:r w:rsidRPr="001535FF">
        <w:rPr>
          <w:rFonts w:ascii="Arial" w:hAnsi="Arial" w:cs="Arial"/>
          <w:bCs/>
        </w:rPr>
        <w:t>«Gerechtigkeit und Recht sind dem staatlichen Handeln vorgeordnet», führte der Bundesrat zu den Kennzeichen des schweizerischen Bundesstaates weiter aus</w:t>
      </w:r>
      <w:r w:rsidRPr="001535FF">
        <w:rPr>
          <w:rFonts w:ascii="Arial" w:hAnsi="Arial" w:cs="Arial"/>
          <w:bCs/>
          <w:vertAlign w:val="superscript"/>
        </w:rPr>
        <w:footnoteReference w:id="8"/>
      </w:r>
      <w:r w:rsidRPr="001535FF">
        <w:rPr>
          <w:rFonts w:ascii="Arial" w:hAnsi="Arial" w:cs="Arial"/>
          <w:bCs/>
        </w:rPr>
        <w:t xml:space="preserve">. Die in Art. 5 BV statuierte Rechtsbindung jeglicher </w:t>
      </w:r>
      <w:proofErr w:type="spellStart"/>
      <w:r w:rsidRPr="001535FF">
        <w:rPr>
          <w:rFonts w:ascii="Arial" w:hAnsi="Arial" w:cs="Arial"/>
          <w:bCs/>
        </w:rPr>
        <w:t>Staatstätigkeit</w:t>
      </w:r>
      <w:proofErr w:type="spellEnd"/>
      <w:r w:rsidRPr="001535FF">
        <w:rPr>
          <w:rFonts w:ascii="Arial" w:hAnsi="Arial" w:cs="Arial"/>
          <w:bCs/>
        </w:rPr>
        <w:t xml:space="preserve"> verpflichte dazu, die elementaren Gebote der materiellen Gerechtigkeit zu respektieren. Diese </w:t>
      </w:r>
      <w:proofErr w:type="spellStart"/>
      <w:r w:rsidRPr="001535FF">
        <w:rPr>
          <w:rFonts w:ascii="Arial" w:hAnsi="Arial" w:cs="Arial"/>
          <w:bCs/>
        </w:rPr>
        <w:t>ergäben</w:t>
      </w:r>
      <w:proofErr w:type="spellEnd"/>
      <w:r w:rsidRPr="001535FF">
        <w:rPr>
          <w:rFonts w:ascii="Arial" w:hAnsi="Arial" w:cs="Arial"/>
          <w:bCs/>
        </w:rPr>
        <w:t xml:space="preserve"> sich namentlich aus den Grundrechtsgarantien und </w:t>
      </w:r>
      <w:proofErr w:type="spellStart"/>
      <w:r w:rsidRPr="001535FF">
        <w:rPr>
          <w:rFonts w:ascii="Arial" w:hAnsi="Arial" w:cs="Arial"/>
          <w:bCs/>
        </w:rPr>
        <w:t>hätten</w:t>
      </w:r>
      <w:proofErr w:type="spellEnd"/>
      <w:r w:rsidRPr="001535FF">
        <w:rPr>
          <w:rFonts w:ascii="Arial" w:hAnsi="Arial" w:cs="Arial"/>
          <w:bCs/>
        </w:rPr>
        <w:t xml:space="preserve"> auch «zunehmend Eingang in das internationale Recht gefunden (zwingendes </w:t>
      </w:r>
      <w:proofErr w:type="spellStart"/>
      <w:r w:rsidRPr="001535FF">
        <w:rPr>
          <w:rFonts w:ascii="Arial" w:hAnsi="Arial" w:cs="Arial"/>
          <w:bCs/>
        </w:rPr>
        <w:t>Völkerrecht</w:t>
      </w:r>
      <w:proofErr w:type="spellEnd"/>
      <w:r w:rsidRPr="001535FF">
        <w:rPr>
          <w:rFonts w:ascii="Arial" w:hAnsi="Arial" w:cs="Arial"/>
          <w:bCs/>
        </w:rPr>
        <w:t>)».</w:t>
      </w:r>
    </w:p>
    <w:p w14:paraId="7F9BDC01" w14:textId="77777777" w:rsidR="00AA1A30" w:rsidRDefault="00AA1A30" w:rsidP="001535FF">
      <w:pPr>
        <w:widowControl w:val="0"/>
        <w:autoSpaceDE w:val="0"/>
        <w:autoSpaceDN w:val="0"/>
        <w:adjustRightInd w:val="0"/>
        <w:rPr>
          <w:rFonts w:ascii="Arial" w:hAnsi="Arial" w:cs="Arial"/>
          <w:bCs/>
        </w:rPr>
      </w:pPr>
    </w:p>
    <w:p w14:paraId="546E0210" w14:textId="6D77C378" w:rsidR="001535FF" w:rsidRPr="001535FF" w:rsidRDefault="00AA1A30" w:rsidP="001535FF">
      <w:pPr>
        <w:widowControl w:val="0"/>
        <w:autoSpaceDE w:val="0"/>
        <w:autoSpaceDN w:val="0"/>
        <w:adjustRightInd w:val="0"/>
        <w:rPr>
          <w:rFonts w:ascii="Arial" w:hAnsi="Arial" w:cs="Arial"/>
          <w:bCs/>
        </w:rPr>
      </w:pPr>
      <w:r w:rsidRPr="00AA1A30">
        <w:rPr>
          <w:rFonts w:ascii="Arial" w:hAnsi="Arial" w:cs="Arial"/>
        </w:rPr>
        <w:t xml:space="preserve">Im Parlament </w:t>
      </w:r>
      <w:r w:rsidR="00ED1527">
        <w:rPr>
          <w:rFonts w:ascii="Arial" w:hAnsi="Arial" w:cs="Arial"/>
        </w:rPr>
        <w:t xml:space="preserve">und bei der Volksabstimmung </w:t>
      </w:r>
      <w:r w:rsidRPr="00AA1A30">
        <w:rPr>
          <w:rFonts w:ascii="Arial" w:hAnsi="Arial" w:cs="Arial"/>
        </w:rPr>
        <w:t xml:space="preserve">gab das </w:t>
      </w:r>
      <w:r w:rsidR="00ED1527">
        <w:rPr>
          <w:rFonts w:ascii="Arial" w:hAnsi="Arial" w:cs="Arial"/>
        </w:rPr>
        <w:t xml:space="preserve">soweit ersichtlich </w:t>
      </w:r>
      <w:r w:rsidRPr="00AA1A30">
        <w:rPr>
          <w:rFonts w:ascii="Arial" w:hAnsi="Arial" w:cs="Arial"/>
        </w:rPr>
        <w:t>zu keinen weiteren Diskussionen Anlass</w:t>
      </w:r>
      <w:r w:rsidR="00ED1527">
        <w:rPr>
          <w:rFonts w:ascii="Arial" w:hAnsi="Arial" w:cs="Arial"/>
        </w:rPr>
        <w:t xml:space="preserve">, so dass diese Ausführungen die </w:t>
      </w:r>
      <w:proofErr w:type="spellStart"/>
      <w:r w:rsidR="00ED1527">
        <w:rPr>
          <w:rFonts w:ascii="Arial" w:hAnsi="Arial" w:cs="Arial"/>
        </w:rPr>
        <w:t>massgeblichen</w:t>
      </w:r>
      <w:proofErr w:type="spellEnd"/>
      <w:r w:rsidR="00ED1527">
        <w:rPr>
          <w:rFonts w:ascii="Arial" w:hAnsi="Arial" w:cs="Arial"/>
        </w:rPr>
        <w:t xml:space="preserve"> Materialien zur Auslegung des „zwingenden Völkerrechts“ als Ungültigkeitsgrund darstellen</w:t>
      </w:r>
      <w:r>
        <w:rPr>
          <w:rFonts w:ascii="Arial" w:hAnsi="Arial" w:cs="Arial"/>
        </w:rPr>
        <w:t>.</w:t>
      </w:r>
      <w:r w:rsidR="001535FF" w:rsidRPr="001535FF">
        <w:rPr>
          <w:rFonts w:ascii="Arial" w:hAnsi="Arial" w:cs="Arial"/>
          <w:bCs/>
        </w:rPr>
        <w:t xml:space="preserve"> </w:t>
      </w:r>
    </w:p>
    <w:p w14:paraId="1B5206D7" w14:textId="77777777" w:rsidR="001535FF" w:rsidRPr="001535FF" w:rsidRDefault="001535FF" w:rsidP="001535FF">
      <w:pPr>
        <w:widowControl w:val="0"/>
        <w:autoSpaceDE w:val="0"/>
        <w:autoSpaceDN w:val="0"/>
        <w:adjustRightInd w:val="0"/>
        <w:rPr>
          <w:rFonts w:ascii="Arial" w:hAnsi="Arial" w:cs="Arial"/>
          <w:bCs/>
        </w:rPr>
      </w:pPr>
    </w:p>
    <w:p w14:paraId="34DD3694" w14:textId="2AB02C79" w:rsidR="001535FF" w:rsidRPr="001535FF" w:rsidRDefault="00ED1527" w:rsidP="001535FF">
      <w:pPr>
        <w:widowControl w:val="0"/>
        <w:autoSpaceDE w:val="0"/>
        <w:autoSpaceDN w:val="0"/>
        <w:adjustRightInd w:val="0"/>
        <w:rPr>
          <w:rFonts w:ascii="Arial" w:hAnsi="Arial" w:cs="Arial"/>
          <w:bCs/>
        </w:rPr>
      </w:pPr>
      <w:r>
        <w:rPr>
          <w:rFonts w:ascii="Arial" w:hAnsi="Arial" w:cs="Arial"/>
          <w:bCs/>
        </w:rPr>
        <w:t>In der Lehre plädiert n</w:t>
      </w:r>
      <w:r w:rsidR="00AA1A30">
        <w:rPr>
          <w:rFonts w:ascii="Arial" w:hAnsi="Arial" w:cs="Arial"/>
          <w:bCs/>
        </w:rPr>
        <w:t xml:space="preserve">amentlich </w:t>
      </w:r>
      <w:r w:rsidR="001535FF" w:rsidRPr="001535FF">
        <w:rPr>
          <w:rFonts w:ascii="Arial" w:hAnsi="Arial" w:cs="Arial"/>
          <w:bCs/>
        </w:rPr>
        <w:t xml:space="preserve">Daniel </w:t>
      </w:r>
      <w:proofErr w:type="spellStart"/>
      <w:r w:rsidR="001535FF" w:rsidRPr="001535FF">
        <w:rPr>
          <w:rFonts w:ascii="Arial" w:hAnsi="Arial" w:cs="Arial"/>
          <w:bCs/>
        </w:rPr>
        <w:t>Thürer</w:t>
      </w:r>
      <w:proofErr w:type="spellEnd"/>
      <w:r w:rsidR="001535FF" w:rsidRPr="001535FF">
        <w:rPr>
          <w:rFonts w:ascii="Arial" w:hAnsi="Arial" w:cs="Arial"/>
          <w:bCs/>
          <w:vertAlign w:val="superscript"/>
        </w:rPr>
        <w:footnoteReference w:id="9"/>
      </w:r>
      <w:r>
        <w:rPr>
          <w:rFonts w:ascii="Arial" w:hAnsi="Arial" w:cs="Arial"/>
          <w:bCs/>
        </w:rPr>
        <w:t xml:space="preserve"> </w:t>
      </w:r>
      <w:r w:rsidR="001535FF" w:rsidRPr="001535FF">
        <w:rPr>
          <w:rFonts w:ascii="Arial" w:hAnsi="Arial" w:cs="Arial"/>
          <w:bCs/>
        </w:rPr>
        <w:t xml:space="preserve">dafür, den Begriff des zwingenden Völkerrechts als eigenen staatsrechtlichen zu verstehen, im Sinne eines Bezugs auf objektive Fundamentalnormen der </w:t>
      </w:r>
      <w:proofErr w:type="spellStart"/>
      <w:r w:rsidR="001535FF" w:rsidRPr="001535FF">
        <w:rPr>
          <w:rFonts w:ascii="Arial" w:hAnsi="Arial" w:cs="Arial"/>
          <w:bCs/>
        </w:rPr>
        <w:t>Völkerrechtsordnung</w:t>
      </w:r>
      <w:proofErr w:type="spellEnd"/>
      <w:r w:rsidR="001535FF" w:rsidRPr="001535FF">
        <w:rPr>
          <w:rFonts w:ascii="Arial" w:hAnsi="Arial" w:cs="Arial"/>
          <w:bCs/>
        </w:rPr>
        <w:t>.</w:t>
      </w:r>
    </w:p>
    <w:p w14:paraId="2583A8C1" w14:textId="77777777" w:rsidR="001535FF" w:rsidRPr="001535FF" w:rsidRDefault="001535FF" w:rsidP="001535FF">
      <w:pPr>
        <w:widowControl w:val="0"/>
        <w:autoSpaceDE w:val="0"/>
        <w:autoSpaceDN w:val="0"/>
        <w:adjustRightInd w:val="0"/>
        <w:rPr>
          <w:rFonts w:ascii="Arial" w:hAnsi="Arial" w:cs="Arial"/>
          <w:bCs/>
        </w:rPr>
      </w:pPr>
    </w:p>
    <w:p w14:paraId="28A761FC" w14:textId="441A9B4B" w:rsidR="001535FF" w:rsidRPr="00EC2366" w:rsidRDefault="001535FF" w:rsidP="00EC2366">
      <w:pPr>
        <w:widowControl w:val="0"/>
        <w:autoSpaceDE w:val="0"/>
        <w:autoSpaceDN w:val="0"/>
        <w:adjustRightInd w:val="0"/>
        <w:outlineLvl w:val="0"/>
        <w:rPr>
          <w:rFonts w:ascii="Arial" w:hAnsi="Arial" w:cs="Arial"/>
          <w:b/>
          <w:bCs/>
        </w:rPr>
      </w:pPr>
      <w:r w:rsidRPr="001535FF">
        <w:rPr>
          <w:rFonts w:ascii="Arial" w:hAnsi="Arial" w:cs="Arial"/>
          <w:b/>
          <w:bCs/>
        </w:rPr>
        <w:t>2.1.2. Tatsächliche Praxis</w:t>
      </w:r>
    </w:p>
    <w:p w14:paraId="3866B825" w14:textId="398AA0E5" w:rsidR="001535FF" w:rsidRPr="001535FF" w:rsidRDefault="001535FF" w:rsidP="001535FF">
      <w:pPr>
        <w:widowControl w:val="0"/>
        <w:autoSpaceDE w:val="0"/>
        <w:autoSpaceDN w:val="0"/>
        <w:adjustRightInd w:val="0"/>
        <w:rPr>
          <w:rFonts w:ascii="Arial" w:hAnsi="Arial" w:cs="Arial"/>
          <w:bCs/>
        </w:rPr>
      </w:pPr>
      <w:r w:rsidRPr="001535FF">
        <w:rPr>
          <w:rFonts w:ascii="Arial" w:hAnsi="Arial" w:cs="Arial"/>
          <w:bCs/>
        </w:rPr>
        <w:t>Bei der Volksinitiative «</w:t>
      </w:r>
      <w:proofErr w:type="spellStart"/>
      <w:r w:rsidRPr="001535FF">
        <w:rPr>
          <w:rFonts w:ascii="Arial" w:hAnsi="Arial" w:cs="Arial"/>
          <w:bCs/>
        </w:rPr>
        <w:t>für</w:t>
      </w:r>
      <w:proofErr w:type="spellEnd"/>
      <w:r w:rsidRPr="001535FF">
        <w:rPr>
          <w:rFonts w:ascii="Arial" w:hAnsi="Arial" w:cs="Arial"/>
          <w:bCs/>
        </w:rPr>
        <w:t xml:space="preserve"> demokratische </w:t>
      </w:r>
      <w:proofErr w:type="spellStart"/>
      <w:r w:rsidRPr="001535FF">
        <w:rPr>
          <w:rFonts w:ascii="Arial" w:hAnsi="Arial" w:cs="Arial"/>
          <w:bCs/>
        </w:rPr>
        <w:t>Einbürgerungen</w:t>
      </w:r>
      <w:proofErr w:type="spellEnd"/>
      <w:r w:rsidRPr="001535FF">
        <w:rPr>
          <w:rFonts w:ascii="Arial" w:hAnsi="Arial" w:cs="Arial"/>
          <w:bCs/>
        </w:rPr>
        <w:t xml:space="preserve">» kam der Bundesrat in der Botschaft </w:t>
      </w:r>
      <w:r w:rsidR="00ED1527">
        <w:rPr>
          <w:rFonts w:ascii="Arial" w:hAnsi="Arial" w:cs="Arial"/>
          <w:bCs/>
        </w:rPr>
        <w:t xml:space="preserve">dazu </w:t>
      </w:r>
      <w:r w:rsidRPr="001535FF">
        <w:rPr>
          <w:rFonts w:ascii="Arial" w:hAnsi="Arial" w:cs="Arial"/>
          <w:bCs/>
        </w:rPr>
        <w:t>zum Schluss, sie verletze zwingendes Völkerrecht nicht</w:t>
      </w:r>
      <w:r w:rsidRPr="001535FF">
        <w:rPr>
          <w:rFonts w:ascii="Arial" w:hAnsi="Arial" w:cs="Arial"/>
          <w:bCs/>
          <w:vertAlign w:val="superscript"/>
        </w:rPr>
        <w:footnoteReference w:id="10"/>
      </w:r>
      <w:r w:rsidRPr="001535FF">
        <w:rPr>
          <w:rFonts w:ascii="Arial" w:hAnsi="Arial" w:cs="Arial"/>
          <w:bCs/>
        </w:rPr>
        <w:t xml:space="preserve">. </w:t>
      </w:r>
      <w:r w:rsidRPr="001535FF">
        <w:rPr>
          <w:rFonts w:ascii="Arial" w:hAnsi="Arial" w:cs="Arial"/>
          <w:bCs/>
          <w:lang w:val="de-CH"/>
        </w:rPr>
        <w:t xml:space="preserve">Eine zwingende Norm des allgemeinen </w:t>
      </w:r>
      <w:proofErr w:type="spellStart"/>
      <w:r w:rsidRPr="001535FF">
        <w:rPr>
          <w:rFonts w:ascii="Arial" w:hAnsi="Arial" w:cs="Arial"/>
          <w:bCs/>
          <w:lang w:val="de-CH"/>
        </w:rPr>
        <w:t>Völkerrechts</w:t>
      </w:r>
      <w:proofErr w:type="spellEnd"/>
      <w:r w:rsidRPr="001535FF">
        <w:rPr>
          <w:rFonts w:ascii="Arial" w:hAnsi="Arial" w:cs="Arial"/>
          <w:bCs/>
          <w:lang w:val="de-CH"/>
        </w:rPr>
        <w:t xml:space="preserve"> sei </w:t>
      </w:r>
      <w:proofErr w:type="spellStart"/>
      <w:r w:rsidRPr="001535FF">
        <w:rPr>
          <w:rFonts w:ascii="Arial" w:hAnsi="Arial" w:cs="Arial"/>
          <w:bCs/>
          <w:lang w:val="de-CH"/>
        </w:rPr>
        <w:t>gemäss</w:t>
      </w:r>
      <w:proofErr w:type="spellEnd"/>
      <w:r w:rsidRPr="001535FF">
        <w:rPr>
          <w:rFonts w:ascii="Arial" w:hAnsi="Arial" w:cs="Arial"/>
          <w:bCs/>
          <w:lang w:val="de-CH"/>
        </w:rPr>
        <w:t xml:space="preserve"> Art. 53 der Wiener Vertragsrechtskonvention «eine Norm, die von der internationalen Staaten- </w:t>
      </w:r>
      <w:proofErr w:type="spellStart"/>
      <w:r w:rsidRPr="001535FF">
        <w:rPr>
          <w:rFonts w:ascii="Arial" w:hAnsi="Arial" w:cs="Arial"/>
          <w:bCs/>
          <w:lang w:val="de-CH"/>
        </w:rPr>
        <w:t>gemeinschaft</w:t>
      </w:r>
      <w:proofErr w:type="spellEnd"/>
      <w:r w:rsidRPr="001535FF">
        <w:rPr>
          <w:rFonts w:ascii="Arial" w:hAnsi="Arial" w:cs="Arial"/>
          <w:bCs/>
          <w:lang w:val="de-CH"/>
        </w:rPr>
        <w:t xml:space="preserve"> in ihrer Gesamtheit angenommen und anerkannt wird als eine Norm, </w:t>
      </w:r>
      <w:r w:rsidRPr="001535FF">
        <w:rPr>
          <w:rFonts w:ascii="Arial" w:hAnsi="Arial" w:cs="Arial"/>
          <w:bCs/>
        </w:rPr>
        <w:t xml:space="preserve">von der nicht abgewichen werden darf und die nur durch eine </w:t>
      </w:r>
      <w:proofErr w:type="spellStart"/>
      <w:r w:rsidRPr="001535FF">
        <w:rPr>
          <w:rFonts w:ascii="Arial" w:hAnsi="Arial" w:cs="Arial"/>
          <w:bCs/>
        </w:rPr>
        <w:t>spätere</w:t>
      </w:r>
      <w:proofErr w:type="spellEnd"/>
      <w:r w:rsidRPr="001535FF">
        <w:rPr>
          <w:rFonts w:ascii="Arial" w:hAnsi="Arial" w:cs="Arial"/>
          <w:bCs/>
        </w:rPr>
        <w:t xml:space="preserve"> Norm des allgemeinen </w:t>
      </w:r>
      <w:proofErr w:type="spellStart"/>
      <w:r w:rsidRPr="001535FF">
        <w:rPr>
          <w:rFonts w:ascii="Arial" w:hAnsi="Arial" w:cs="Arial"/>
          <w:bCs/>
        </w:rPr>
        <w:t>Völkerrechts</w:t>
      </w:r>
      <w:proofErr w:type="spellEnd"/>
      <w:r w:rsidRPr="001535FF">
        <w:rPr>
          <w:rFonts w:ascii="Arial" w:hAnsi="Arial" w:cs="Arial"/>
          <w:bCs/>
        </w:rPr>
        <w:t xml:space="preserve"> derselben Rechtsnatur </w:t>
      </w:r>
      <w:proofErr w:type="spellStart"/>
      <w:r w:rsidRPr="001535FF">
        <w:rPr>
          <w:rFonts w:ascii="Arial" w:hAnsi="Arial" w:cs="Arial"/>
          <w:bCs/>
        </w:rPr>
        <w:t>geändert</w:t>
      </w:r>
      <w:proofErr w:type="spellEnd"/>
      <w:r w:rsidRPr="001535FF">
        <w:rPr>
          <w:rFonts w:ascii="Arial" w:hAnsi="Arial" w:cs="Arial"/>
          <w:bCs/>
        </w:rPr>
        <w:t xml:space="preserve"> werden kann». Der Bundesrat habe in verschiedenen Botschaften Beispiele von zwingendem </w:t>
      </w:r>
      <w:proofErr w:type="spellStart"/>
      <w:r w:rsidRPr="001535FF">
        <w:rPr>
          <w:rFonts w:ascii="Arial" w:hAnsi="Arial" w:cs="Arial"/>
          <w:bCs/>
        </w:rPr>
        <w:t>Völkerrecht</w:t>
      </w:r>
      <w:proofErr w:type="spellEnd"/>
      <w:r w:rsidRPr="001535FF">
        <w:rPr>
          <w:rFonts w:ascii="Arial" w:hAnsi="Arial" w:cs="Arial"/>
          <w:bCs/>
        </w:rPr>
        <w:t xml:space="preserve"> </w:t>
      </w:r>
      <w:proofErr w:type="spellStart"/>
      <w:r w:rsidRPr="001535FF">
        <w:rPr>
          <w:rFonts w:ascii="Arial" w:hAnsi="Arial" w:cs="Arial"/>
          <w:bCs/>
        </w:rPr>
        <w:t>erwähnt</w:t>
      </w:r>
      <w:proofErr w:type="spellEnd"/>
      <w:r w:rsidRPr="001535FF">
        <w:rPr>
          <w:rFonts w:ascii="Arial" w:hAnsi="Arial" w:cs="Arial"/>
          <w:bCs/>
        </w:rPr>
        <w:t xml:space="preserve">; darunter fielen namentlich die Verbote von Folter, Genozid, Sklaverei und die notstandsfesten Garantien der EMRK wie auch des UNO-Paktes II. Wenn solche Normen staatsvertraglich verankert seien, könne sich der einzelne Staat aufgrund ihres zwingenden Charakters selbst durch </w:t>
      </w:r>
      <w:proofErr w:type="spellStart"/>
      <w:r w:rsidRPr="001535FF">
        <w:rPr>
          <w:rFonts w:ascii="Arial" w:hAnsi="Arial" w:cs="Arial"/>
          <w:bCs/>
        </w:rPr>
        <w:t>Kündigung</w:t>
      </w:r>
      <w:proofErr w:type="spellEnd"/>
      <w:r w:rsidRPr="001535FF">
        <w:rPr>
          <w:rFonts w:ascii="Arial" w:hAnsi="Arial" w:cs="Arial"/>
          <w:bCs/>
        </w:rPr>
        <w:t xml:space="preserve"> nicht von ihrer </w:t>
      </w:r>
      <w:proofErr w:type="spellStart"/>
      <w:r w:rsidRPr="001535FF">
        <w:rPr>
          <w:rFonts w:ascii="Arial" w:hAnsi="Arial" w:cs="Arial"/>
          <w:bCs/>
        </w:rPr>
        <w:t>Berücksichtigung</w:t>
      </w:r>
      <w:proofErr w:type="spellEnd"/>
      <w:r w:rsidRPr="001535FF">
        <w:rPr>
          <w:rFonts w:ascii="Arial" w:hAnsi="Arial" w:cs="Arial"/>
          <w:bCs/>
        </w:rPr>
        <w:t xml:space="preserve"> entbinden. Die (mit der Initiative nicht gewährleistete) Rechtsweggarantie </w:t>
      </w:r>
      <w:proofErr w:type="spellStart"/>
      <w:r w:rsidRPr="001535FF">
        <w:rPr>
          <w:rFonts w:ascii="Arial" w:hAnsi="Arial" w:cs="Arial"/>
          <w:bCs/>
        </w:rPr>
        <w:t>gemäss</w:t>
      </w:r>
      <w:proofErr w:type="spellEnd"/>
      <w:r w:rsidRPr="001535FF">
        <w:rPr>
          <w:rFonts w:ascii="Arial" w:hAnsi="Arial" w:cs="Arial"/>
          <w:bCs/>
        </w:rPr>
        <w:t xml:space="preserve"> Art. 6 der Konvention zur Beseitigung jeder Form von Rassendiskriminierung sowie das Recht auf wirksame Beschwerde </w:t>
      </w:r>
      <w:proofErr w:type="spellStart"/>
      <w:r w:rsidRPr="001535FF">
        <w:rPr>
          <w:rFonts w:ascii="Arial" w:hAnsi="Arial" w:cs="Arial"/>
          <w:bCs/>
        </w:rPr>
        <w:t>gemäss</w:t>
      </w:r>
      <w:proofErr w:type="spellEnd"/>
      <w:r w:rsidRPr="001535FF">
        <w:rPr>
          <w:rFonts w:ascii="Arial" w:hAnsi="Arial" w:cs="Arial"/>
          <w:bCs/>
        </w:rPr>
        <w:t xml:space="preserve"> Art. 13 EMRK und Art. 2 Abs. 3 des UNO-Paktes II seien hingegen nicht Bestandteil des zwingenden </w:t>
      </w:r>
      <w:proofErr w:type="spellStart"/>
      <w:r w:rsidRPr="001535FF">
        <w:rPr>
          <w:rFonts w:ascii="Arial" w:hAnsi="Arial" w:cs="Arial"/>
          <w:bCs/>
        </w:rPr>
        <w:t>Völkerrechts</w:t>
      </w:r>
      <w:proofErr w:type="spellEnd"/>
      <w:r w:rsidRPr="001535FF">
        <w:rPr>
          <w:rFonts w:ascii="Arial" w:hAnsi="Arial" w:cs="Arial"/>
          <w:bCs/>
        </w:rPr>
        <w:t xml:space="preserve"> im Sinne der vorstehenden </w:t>
      </w:r>
      <w:proofErr w:type="spellStart"/>
      <w:r w:rsidRPr="001535FF">
        <w:rPr>
          <w:rFonts w:ascii="Arial" w:hAnsi="Arial" w:cs="Arial"/>
          <w:bCs/>
        </w:rPr>
        <w:t>Ausführungen</w:t>
      </w:r>
      <w:proofErr w:type="spellEnd"/>
      <w:r w:rsidRPr="001535FF">
        <w:rPr>
          <w:rFonts w:ascii="Arial" w:hAnsi="Arial" w:cs="Arial"/>
          <w:bCs/>
        </w:rPr>
        <w:t xml:space="preserve">. </w:t>
      </w:r>
      <w:proofErr w:type="spellStart"/>
      <w:r w:rsidRPr="001535FF">
        <w:rPr>
          <w:rFonts w:ascii="Arial" w:hAnsi="Arial" w:cs="Arial"/>
          <w:bCs/>
        </w:rPr>
        <w:t>Diesbezüglich</w:t>
      </w:r>
      <w:proofErr w:type="spellEnd"/>
      <w:r w:rsidRPr="001535FF">
        <w:rPr>
          <w:rFonts w:ascii="Arial" w:hAnsi="Arial" w:cs="Arial"/>
          <w:bCs/>
        </w:rPr>
        <w:t xml:space="preserve"> habe sich der Bundesrat in seiner Botschaft vom 7. Juni 2004 zur Volksinitiative «</w:t>
      </w:r>
      <w:proofErr w:type="spellStart"/>
      <w:r w:rsidRPr="001535FF">
        <w:rPr>
          <w:rFonts w:ascii="Arial" w:hAnsi="Arial" w:cs="Arial"/>
          <w:bCs/>
        </w:rPr>
        <w:t>Für</w:t>
      </w:r>
      <w:proofErr w:type="spellEnd"/>
      <w:r w:rsidRPr="001535FF">
        <w:rPr>
          <w:rFonts w:ascii="Arial" w:hAnsi="Arial" w:cs="Arial"/>
          <w:bCs/>
        </w:rPr>
        <w:t xml:space="preserve"> einen </w:t>
      </w:r>
      <w:proofErr w:type="spellStart"/>
      <w:r w:rsidRPr="001535FF">
        <w:rPr>
          <w:rFonts w:ascii="Arial" w:hAnsi="Arial" w:cs="Arial"/>
          <w:bCs/>
        </w:rPr>
        <w:t>zeitgemässen</w:t>
      </w:r>
      <w:proofErr w:type="spellEnd"/>
      <w:r w:rsidRPr="001535FF">
        <w:rPr>
          <w:rFonts w:ascii="Arial" w:hAnsi="Arial" w:cs="Arial"/>
          <w:bCs/>
        </w:rPr>
        <w:t xml:space="preserve"> Tierschutz (Tierschutz-Ja!)» </w:t>
      </w:r>
      <w:proofErr w:type="spellStart"/>
      <w:r w:rsidRPr="001535FF">
        <w:rPr>
          <w:rFonts w:ascii="Arial" w:hAnsi="Arial" w:cs="Arial"/>
          <w:bCs/>
        </w:rPr>
        <w:t>ausdrücklich</w:t>
      </w:r>
      <w:proofErr w:type="spellEnd"/>
      <w:r w:rsidRPr="001535FF">
        <w:rPr>
          <w:rFonts w:ascii="Arial" w:hAnsi="Arial" w:cs="Arial"/>
          <w:bCs/>
        </w:rPr>
        <w:t xml:space="preserve"> dagegen ausgesprochen, dass Normen aus </w:t>
      </w:r>
      <w:proofErr w:type="spellStart"/>
      <w:r w:rsidRPr="001535FF">
        <w:rPr>
          <w:rFonts w:ascii="Arial" w:hAnsi="Arial" w:cs="Arial"/>
          <w:bCs/>
        </w:rPr>
        <w:t>völkerrechtlichen</w:t>
      </w:r>
      <w:proofErr w:type="spellEnd"/>
      <w:r w:rsidRPr="001535FF">
        <w:rPr>
          <w:rFonts w:ascii="Arial" w:hAnsi="Arial" w:cs="Arial"/>
          <w:bCs/>
        </w:rPr>
        <w:t xml:space="preserve"> Verpflichtungen, selbst wenn sie </w:t>
      </w:r>
      <w:proofErr w:type="spellStart"/>
      <w:r w:rsidRPr="001535FF">
        <w:rPr>
          <w:rFonts w:ascii="Arial" w:hAnsi="Arial" w:cs="Arial"/>
          <w:bCs/>
        </w:rPr>
        <w:lastRenderedPageBreak/>
        <w:t>für</w:t>
      </w:r>
      <w:proofErr w:type="spellEnd"/>
      <w:r w:rsidRPr="001535FF">
        <w:rPr>
          <w:rFonts w:ascii="Arial" w:hAnsi="Arial" w:cs="Arial"/>
          <w:bCs/>
        </w:rPr>
        <w:t xml:space="preserve"> die Schweiz von so </w:t>
      </w:r>
      <w:proofErr w:type="spellStart"/>
      <w:r w:rsidRPr="001535FF">
        <w:rPr>
          <w:rFonts w:ascii="Arial" w:hAnsi="Arial" w:cs="Arial"/>
          <w:bCs/>
        </w:rPr>
        <w:t>überragender</w:t>
      </w:r>
      <w:proofErr w:type="spellEnd"/>
      <w:r w:rsidRPr="001535FF">
        <w:rPr>
          <w:rFonts w:ascii="Arial" w:hAnsi="Arial" w:cs="Arial"/>
          <w:bCs/>
        </w:rPr>
        <w:t xml:space="preserve"> Bedeutung seien, dass deren </w:t>
      </w:r>
      <w:proofErr w:type="spellStart"/>
      <w:r w:rsidRPr="001535FF">
        <w:rPr>
          <w:rFonts w:ascii="Arial" w:hAnsi="Arial" w:cs="Arial"/>
          <w:bCs/>
        </w:rPr>
        <w:t>Aufkündigung</w:t>
      </w:r>
      <w:proofErr w:type="spellEnd"/>
      <w:r w:rsidRPr="001535FF">
        <w:rPr>
          <w:rFonts w:ascii="Arial" w:hAnsi="Arial" w:cs="Arial"/>
          <w:bCs/>
        </w:rPr>
        <w:t xml:space="preserve"> nicht in Frage komme, mit zwingendem </w:t>
      </w:r>
      <w:proofErr w:type="spellStart"/>
      <w:r w:rsidRPr="001535FF">
        <w:rPr>
          <w:rFonts w:ascii="Arial" w:hAnsi="Arial" w:cs="Arial"/>
          <w:bCs/>
        </w:rPr>
        <w:t>Völkerrecht</w:t>
      </w:r>
      <w:proofErr w:type="spellEnd"/>
      <w:r w:rsidRPr="001535FF">
        <w:rPr>
          <w:rFonts w:ascii="Arial" w:hAnsi="Arial" w:cs="Arial"/>
          <w:bCs/>
        </w:rPr>
        <w:t xml:space="preserve"> gleichgestellt werden. Dies </w:t>
      </w:r>
      <w:proofErr w:type="spellStart"/>
      <w:r w:rsidRPr="001535FF">
        <w:rPr>
          <w:rFonts w:ascii="Arial" w:hAnsi="Arial" w:cs="Arial"/>
          <w:bCs/>
        </w:rPr>
        <w:t>führe</w:t>
      </w:r>
      <w:proofErr w:type="spellEnd"/>
      <w:r w:rsidRPr="001535FF">
        <w:rPr>
          <w:rFonts w:ascii="Arial" w:hAnsi="Arial" w:cs="Arial"/>
          <w:bCs/>
        </w:rPr>
        <w:t xml:space="preserve"> dazu, dass trotz der </w:t>
      </w:r>
      <w:proofErr w:type="spellStart"/>
      <w:r w:rsidRPr="001535FF">
        <w:rPr>
          <w:rFonts w:ascii="Arial" w:hAnsi="Arial" w:cs="Arial"/>
          <w:bCs/>
        </w:rPr>
        <w:t>Unkündbarkeit</w:t>
      </w:r>
      <w:proofErr w:type="spellEnd"/>
      <w:r w:rsidRPr="001535FF">
        <w:rPr>
          <w:rFonts w:ascii="Arial" w:hAnsi="Arial" w:cs="Arial"/>
          <w:bCs/>
        </w:rPr>
        <w:t xml:space="preserve"> des UNO-Pakts II und trotz des hohen Ranges der EMRK in der Hierarchie der </w:t>
      </w:r>
      <w:proofErr w:type="spellStart"/>
      <w:r w:rsidRPr="001535FF">
        <w:rPr>
          <w:rFonts w:ascii="Arial" w:hAnsi="Arial" w:cs="Arial"/>
          <w:bCs/>
        </w:rPr>
        <w:t>Übereinkommen</w:t>
      </w:r>
      <w:proofErr w:type="spellEnd"/>
      <w:r w:rsidRPr="001535FF">
        <w:rPr>
          <w:rFonts w:ascii="Arial" w:hAnsi="Arial" w:cs="Arial"/>
          <w:bCs/>
        </w:rPr>
        <w:t xml:space="preserve">, beide Abkommen kein zwingendes </w:t>
      </w:r>
      <w:proofErr w:type="spellStart"/>
      <w:r w:rsidRPr="001535FF">
        <w:rPr>
          <w:rFonts w:ascii="Arial" w:hAnsi="Arial" w:cs="Arial"/>
          <w:bCs/>
        </w:rPr>
        <w:t>Völkerrecht</w:t>
      </w:r>
      <w:proofErr w:type="spellEnd"/>
      <w:r w:rsidRPr="001535FF">
        <w:rPr>
          <w:rFonts w:ascii="Arial" w:hAnsi="Arial" w:cs="Arial"/>
          <w:bCs/>
        </w:rPr>
        <w:t xml:space="preserve"> im Sinne von Art. 139 Abs. 3 BV darstellten. </w:t>
      </w:r>
    </w:p>
    <w:p w14:paraId="57B334BD" w14:textId="77777777" w:rsidR="001535FF" w:rsidRPr="001535FF" w:rsidRDefault="001535FF" w:rsidP="001535FF">
      <w:pPr>
        <w:widowControl w:val="0"/>
        <w:autoSpaceDE w:val="0"/>
        <w:autoSpaceDN w:val="0"/>
        <w:adjustRightInd w:val="0"/>
        <w:rPr>
          <w:rFonts w:ascii="Arial" w:hAnsi="Arial" w:cs="Arial"/>
          <w:bCs/>
        </w:rPr>
      </w:pPr>
    </w:p>
    <w:p w14:paraId="10FB1393" w14:textId="3E2088F0" w:rsidR="001535FF" w:rsidRPr="001535FF" w:rsidRDefault="001535FF" w:rsidP="001535FF">
      <w:pPr>
        <w:widowControl w:val="0"/>
        <w:autoSpaceDE w:val="0"/>
        <w:autoSpaceDN w:val="0"/>
        <w:adjustRightInd w:val="0"/>
        <w:rPr>
          <w:rFonts w:ascii="Arial" w:hAnsi="Arial" w:cs="Arial"/>
          <w:bCs/>
        </w:rPr>
      </w:pPr>
      <w:r w:rsidRPr="001535FF">
        <w:rPr>
          <w:rFonts w:ascii="Arial" w:hAnsi="Arial" w:cs="Arial"/>
          <w:bCs/>
        </w:rPr>
        <w:t xml:space="preserve">Eine entsprechende </w:t>
      </w:r>
      <w:proofErr w:type="spellStart"/>
      <w:r w:rsidRPr="001535FF">
        <w:rPr>
          <w:rFonts w:ascii="Arial" w:hAnsi="Arial" w:cs="Arial"/>
          <w:bCs/>
        </w:rPr>
        <w:t>Prüfung</w:t>
      </w:r>
      <w:proofErr w:type="spellEnd"/>
      <w:r w:rsidRPr="001535FF">
        <w:rPr>
          <w:rFonts w:ascii="Arial" w:hAnsi="Arial" w:cs="Arial"/>
          <w:bCs/>
        </w:rPr>
        <w:t xml:space="preserve"> bei der Volksinitiative „Gegen den Bau von Minaretten“ insbesondere mit Blick auf </w:t>
      </w:r>
      <w:proofErr w:type="spellStart"/>
      <w:r w:rsidRPr="001535FF">
        <w:rPr>
          <w:rFonts w:ascii="Arial" w:hAnsi="Arial" w:cs="Arial"/>
          <w:bCs/>
        </w:rPr>
        <w:t>unabänderliche</w:t>
      </w:r>
      <w:proofErr w:type="spellEnd"/>
      <w:r w:rsidRPr="001535FF">
        <w:rPr>
          <w:rFonts w:ascii="Arial" w:hAnsi="Arial" w:cs="Arial"/>
          <w:bCs/>
        </w:rPr>
        <w:t xml:space="preserve"> Bestimmungen in den wichtigsten Menschenrechtspakten zeige ebenfalls, wie der Bundesrat in der Botschaft zusammenfassend ausführte</w:t>
      </w:r>
      <w:r w:rsidRPr="001535FF">
        <w:rPr>
          <w:rFonts w:ascii="Arial" w:hAnsi="Arial" w:cs="Arial"/>
          <w:bCs/>
          <w:vertAlign w:val="superscript"/>
        </w:rPr>
        <w:footnoteReference w:id="11"/>
      </w:r>
      <w:r w:rsidRPr="001535FF">
        <w:rPr>
          <w:rFonts w:ascii="Arial" w:hAnsi="Arial" w:cs="Arial"/>
          <w:bCs/>
        </w:rPr>
        <w:t xml:space="preserve">, dass die Initiative kein zwingendes </w:t>
      </w:r>
      <w:proofErr w:type="spellStart"/>
      <w:r w:rsidRPr="001535FF">
        <w:rPr>
          <w:rFonts w:ascii="Arial" w:hAnsi="Arial" w:cs="Arial"/>
          <w:bCs/>
        </w:rPr>
        <w:t>Völkerrecht</w:t>
      </w:r>
      <w:proofErr w:type="spellEnd"/>
      <w:r w:rsidRPr="001535FF">
        <w:rPr>
          <w:rFonts w:ascii="Arial" w:hAnsi="Arial" w:cs="Arial"/>
          <w:bCs/>
        </w:rPr>
        <w:t xml:space="preserve"> verletze und deshalb </w:t>
      </w:r>
      <w:proofErr w:type="spellStart"/>
      <w:r w:rsidRPr="001535FF">
        <w:rPr>
          <w:rFonts w:ascii="Arial" w:hAnsi="Arial" w:cs="Arial"/>
          <w:bCs/>
        </w:rPr>
        <w:t>gültig</w:t>
      </w:r>
      <w:proofErr w:type="spellEnd"/>
      <w:r w:rsidRPr="001535FF">
        <w:rPr>
          <w:rFonts w:ascii="Arial" w:hAnsi="Arial" w:cs="Arial"/>
          <w:bCs/>
        </w:rPr>
        <w:t xml:space="preserve"> sei. Die Initiative </w:t>
      </w:r>
      <w:proofErr w:type="spellStart"/>
      <w:r w:rsidRPr="001535FF">
        <w:rPr>
          <w:rFonts w:ascii="Arial" w:hAnsi="Arial" w:cs="Arial"/>
          <w:bCs/>
        </w:rPr>
        <w:t>verstosse</w:t>
      </w:r>
      <w:proofErr w:type="spellEnd"/>
      <w:r w:rsidRPr="001535FF">
        <w:rPr>
          <w:rFonts w:ascii="Arial" w:hAnsi="Arial" w:cs="Arial"/>
          <w:bCs/>
        </w:rPr>
        <w:t xml:space="preserve"> allerdings klar gegen eine Reihe international garantierter Menschenrechte, so gegen die Art. 9 (Religions- und Weltanschauungsfreiheit) und 14 (Diskriminierungsverbot) EMRK sowie gegen die Art. 2 (Diskriminierungsverbot) und 18 (Religions- und Weltanschauungsfreiheit) sowie </w:t>
      </w:r>
      <w:proofErr w:type="spellStart"/>
      <w:r w:rsidRPr="001535FF">
        <w:rPr>
          <w:rFonts w:ascii="Arial" w:hAnsi="Arial" w:cs="Arial"/>
          <w:bCs/>
        </w:rPr>
        <w:t>möglicherweise</w:t>
      </w:r>
      <w:proofErr w:type="spellEnd"/>
      <w:r w:rsidRPr="001535FF">
        <w:rPr>
          <w:rFonts w:ascii="Arial" w:hAnsi="Arial" w:cs="Arial"/>
          <w:bCs/>
        </w:rPr>
        <w:t xml:space="preserve"> auch Art. 27 (Minderheitenschutz) UNO-Pakt II. Der absolute und ausnahmslos formulierte Initiativtext lasse eine </w:t>
      </w:r>
      <w:proofErr w:type="spellStart"/>
      <w:r w:rsidRPr="001535FF">
        <w:rPr>
          <w:rFonts w:ascii="Arial" w:hAnsi="Arial" w:cs="Arial"/>
          <w:bCs/>
        </w:rPr>
        <w:t>völkerrechtskonforme</w:t>
      </w:r>
      <w:proofErr w:type="spellEnd"/>
      <w:r w:rsidRPr="001535FF">
        <w:rPr>
          <w:rFonts w:ascii="Arial" w:hAnsi="Arial" w:cs="Arial"/>
          <w:bCs/>
        </w:rPr>
        <w:t xml:space="preserve"> Auslegung kaum zu, sodass die Verfassungsbestimmung, sollte sie in Kraft treten, mit den genannten Menschenrechtspakten kollidieren </w:t>
      </w:r>
      <w:proofErr w:type="spellStart"/>
      <w:r w:rsidRPr="001535FF">
        <w:rPr>
          <w:rFonts w:ascii="Arial" w:hAnsi="Arial" w:cs="Arial"/>
          <w:bCs/>
        </w:rPr>
        <w:t>würde</w:t>
      </w:r>
      <w:proofErr w:type="spellEnd"/>
      <w:r w:rsidRPr="001535FF">
        <w:rPr>
          <w:rFonts w:ascii="Arial" w:hAnsi="Arial" w:cs="Arial"/>
          <w:bCs/>
        </w:rPr>
        <w:t xml:space="preserve">. </w:t>
      </w:r>
    </w:p>
    <w:p w14:paraId="0B2AAADF" w14:textId="77777777" w:rsidR="001535FF" w:rsidRPr="001535FF" w:rsidRDefault="001535FF" w:rsidP="001535FF">
      <w:pPr>
        <w:widowControl w:val="0"/>
        <w:autoSpaceDE w:val="0"/>
        <w:autoSpaceDN w:val="0"/>
        <w:adjustRightInd w:val="0"/>
        <w:rPr>
          <w:rFonts w:ascii="Arial" w:hAnsi="Arial" w:cs="Arial"/>
          <w:bCs/>
        </w:rPr>
      </w:pPr>
    </w:p>
    <w:p w14:paraId="7EE9F6E3" w14:textId="77777777" w:rsidR="001535FF" w:rsidRPr="001535FF" w:rsidRDefault="001535FF" w:rsidP="001535FF">
      <w:pPr>
        <w:widowControl w:val="0"/>
        <w:autoSpaceDE w:val="0"/>
        <w:autoSpaceDN w:val="0"/>
        <w:adjustRightInd w:val="0"/>
        <w:rPr>
          <w:rFonts w:ascii="Arial" w:hAnsi="Arial" w:cs="Arial"/>
          <w:bCs/>
        </w:rPr>
      </w:pPr>
      <w:r w:rsidRPr="001535FF">
        <w:rPr>
          <w:rFonts w:ascii="Arial" w:hAnsi="Arial" w:cs="Arial"/>
          <w:bCs/>
        </w:rPr>
        <w:t xml:space="preserve">Die Ausschaffungsinitiative </w:t>
      </w:r>
      <w:proofErr w:type="spellStart"/>
      <w:r w:rsidRPr="001535FF">
        <w:rPr>
          <w:rFonts w:ascii="Arial" w:hAnsi="Arial" w:cs="Arial"/>
          <w:bCs/>
        </w:rPr>
        <w:t>verstiess</w:t>
      </w:r>
      <w:proofErr w:type="spellEnd"/>
      <w:r w:rsidRPr="001535FF">
        <w:rPr>
          <w:rFonts w:ascii="Arial" w:hAnsi="Arial" w:cs="Arial"/>
          <w:bCs/>
        </w:rPr>
        <w:t xml:space="preserve"> nach der Auffassung des Bundesrats</w:t>
      </w:r>
      <w:r w:rsidRPr="001535FF">
        <w:rPr>
          <w:rFonts w:ascii="Arial" w:hAnsi="Arial" w:cs="Arial"/>
          <w:bCs/>
          <w:vertAlign w:val="superscript"/>
        </w:rPr>
        <w:footnoteReference w:id="12"/>
      </w:r>
      <w:r w:rsidRPr="001535FF">
        <w:rPr>
          <w:rFonts w:ascii="Arial" w:hAnsi="Arial" w:cs="Arial"/>
          <w:bCs/>
        </w:rPr>
        <w:t xml:space="preserve"> ebenfalls nicht gegen zwingendes </w:t>
      </w:r>
      <w:proofErr w:type="spellStart"/>
      <w:r w:rsidRPr="001535FF">
        <w:rPr>
          <w:rFonts w:ascii="Arial" w:hAnsi="Arial" w:cs="Arial"/>
          <w:bCs/>
        </w:rPr>
        <w:t>Völkerrecht</w:t>
      </w:r>
      <w:proofErr w:type="spellEnd"/>
      <w:r w:rsidRPr="001535FF">
        <w:rPr>
          <w:rFonts w:ascii="Arial" w:hAnsi="Arial" w:cs="Arial"/>
          <w:bCs/>
        </w:rPr>
        <w:t xml:space="preserve"> und wurde daher gültig erklärt, weil sie so ausgelegt werden könne, dass insbesondere das zum zwingenden </w:t>
      </w:r>
      <w:proofErr w:type="spellStart"/>
      <w:r w:rsidRPr="001535FF">
        <w:rPr>
          <w:rFonts w:ascii="Arial" w:hAnsi="Arial" w:cs="Arial"/>
          <w:bCs/>
        </w:rPr>
        <w:t>Völkerrecht</w:t>
      </w:r>
      <w:proofErr w:type="spellEnd"/>
      <w:r w:rsidRPr="001535FF">
        <w:rPr>
          <w:rFonts w:ascii="Arial" w:hAnsi="Arial" w:cs="Arial"/>
          <w:bCs/>
        </w:rPr>
        <w:t xml:space="preserve"> </w:t>
      </w:r>
      <w:proofErr w:type="spellStart"/>
      <w:r w:rsidRPr="001535FF">
        <w:rPr>
          <w:rFonts w:ascii="Arial" w:hAnsi="Arial" w:cs="Arial"/>
          <w:bCs/>
        </w:rPr>
        <w:t>gehörende</w:t>
      </w:r>
      <w:proofErr w:type="spellEnd"/>
      <w:r w:rsidRPr="001535FF">
        <w:rPr>
          <w:rFonts w:ascii="Arial" w:hAnsi="Arial" w:cs="Arial"/>
          <w:bCs/>
        </w:rPr>
        <w:t xml:space="preserve"> «Non-</w:t>
      </w:r>
      <w:proofErr w:type="spellStart"/>
      <w:r w:rsidRPr="001535FF">
        <w:rPr>
          <w:rFonts w:ascii="Arial" w:hAnsi="Arial" w:cs="Arial"/>
          <w:bCs/>
        </w:rPr>
        <w:t>Refoulement</w:t>
      </w:r>
      <w:proofErr w:type="spellEnd"/>
      <w:r w:rsidRPr="001535FF">
        <w:rPr>
          <w:rFonts w:ascii="Arial" w:hAnsi="Arial" w:cs="Arial"/>
          <w:bCs/>
        </w:rPr>
        <w:t xml:space="preserve">-Prinzip» respektiert werde. Eine Annahme der Initiative </w:t>
      </w:r>
      <w:proofErr w:type="spellStart"/>
      <w:r w:rsidRPr="001535FF">
        <w:rPr>
          <w:rFonts w:ascii="Arial" w:hAnsi="Arial" w:cs="Arial"/>
          <w:bCs/>
        </w:rPr>
        <w:t>würde</w:t>
      </w:r>
      <w:proofErr w:type="spellEnd"/>
      <w:r w:rsidRPr="001535FF">
        <w:rPr>
          <w:rFonts w:ascii="Arial" w:hAnsi="Arial" w:cs="Arial"/>
          <w:bCs/>
        </w:rPr>
        <w:t xml:space="preserve"> indessen bei der Umsetzung zu erheblichen Kollisionen mit rechtsstaatlichen Garantien der Bundesverfassung </w:t>
      </w:r>
      <w:proofErr w:type="spellStart"/>
      <w:r w:rsidRPr="001535FF">
        <w:rPr>
          <w:rFonts w:ascii="Arial" w:hAnsi="Arial" w:cs="Arial"/>
          <w:bCs/>
        </w:rPr>
        <w:t>führen</w:t>
      </w:r>
      <w:proofErr w:type="spellEnd"/>
      <w:r w:rsidRPr="001535FF">
        <w:rPr>
          <w:rFonts w:ascii="Arial" w:hAnsi="Arial" w:cs="Arial"/>
          <w:bCs/>
        </w:rPr>
        <w:t xml:space="preserve">, insbesondere mit dem darin enthaltenen Schutz des Privat- und Familienlebens sowie mit dem Grundsatz der </w:t>
      </w:r>
      <w:proofErr w:type="spellStart"/>
      <w:r w:rsidRPr="001535FF">
        <w:rPr>
          <w:rFonts w:ascii="Arial" w:hAnsi="Arial" w:cs="Arial"/>
          <w:bCs/>
        </w:rPr>
        <w:t>Verhältnismässigkeit</w:t>
      </w:r>
      <w:proofErr w:type="spellEnd"/>
      <w:r w:rsidRPr="001535FF">
        <w:rPr>
          <w:rFonts w:ascii="Arial" w:hAnsi="Arial" w:cs="Arial"/>
          <w:bCs/>
        </w:rPr>
        <w:t xml:space="preserve"> </w:t>
      </w:r>
      <w:proofErr w:type="spellStart"/>
      <w:r w:rsidRPr="001535FF">
        <w:rPr>
          <w:rFonts w:ascii="Arial" w:hAnsi="Arial" w:cs="Arial"/>
          <w:bCs/>
        </w:rPr>
        <w:t>behördlicher</w:t>
      </w:r>
      <w:proofErr w:type="spellEnd"/>
      <w:r w:rsidRPr="001535FF">
        <w:rPr>
          <w:rFonts w:ascii="Arial" w:hAnsi="Arial" w:cs="Arial"/>
          <w:bCs/>
        </w:rPr>
        <w:t xml:space="preserve"> </w:t>
      </w:r>
      <w:proofErr w:type="spellStart"/>
      <w:r w:rsidRPr="001535FF">
        <w:rPr>
          <w:rFonts w:ascii="Arial" w:hAnsi="Arial" w:cs="Arial"/>
          <w:bCs/>
        </w:rPr>
        <w:t>Massnahmen</w:t>
      </w:r>
      <w:proofErr w:type="spellEnd"/>
      <w:r w:rsidRPr="001535FF">
        <w:rPr>
          <w:rFonts w:ascii="Arial" w:hAnsi="Arial" w:cs="Arial"/>
          <w:bCs/>
        </w:rPr>
        <w:t xml:space="preserve">. </w:t>
      </w:r>
      <w:proofErr w:type="spellStart"/>
      <w:r w:rsidRPr="001535FF">
        <w:rPr>
          <w:rFonts w:ascii="Arial" w:hAnsi="Arial" w:cs="Arial"/>
          <w:bCs/>
        </w:rPr>
        <w:t>Darüber</w:t>
      </w:r>
      <w:proofErr w:type="spellEnd"/>
      <w:r w:rsidRPr="001535FF">
        <w:rPr>
          <w:rFonts w:ascii="Arial" w:hAnsi="Arial" w:cs="Arial"/>
          <w:bCs/>
        </w:rPr>
        <w:t xml:space="preserve"> hinaus </w:t>
      </w:r>
      <w:proofErr w:type="spellStart"/>
      <w:r w:rsidRPr="001535FF">
        <w:rPr>
          <w:rFonts w:ascii="Arial" w:hAnsi="Arial" w:cs="Arial"/>
          <w:bCs/>
        </w:rPr>
        <w:t>könnten</w:t>
      </w:r>
      <w:proofErr w:type="spellEnd"/>
      <w:r w:rsidRPr="001535FF">
        <w:rPr>
          <w:rFonts w:ascii="Arial" w:hAnsi="Arial" w:cs="Arial"/>
          <w:bCs/>
        </w:rPr>
        <w:t xml:space="preserve"> auch wichtige Bestimmungen des nicht zwingenden </w:t>
      </w:r>
      <w:proofErr w:type="spellStart"/>
      <w:r w:rsidRPr="001535FF">
        <w:rPr>
          <w:rFonts w:ascii="Arial" w:hAnsi="Arial" w:cs="Arial"/>
          <w:bCs/>
        </w:rPr>
        <w:t>Völkerrechts</w:t>
      </w:r>
      <w:proofErr w:type="spellEnd"/>
      <w:r w:rsidRPr="001535FF">
        <w:rPr>
          <w:rFonts w:ascii="Arial" w:hAnsi="Arial" w:cs="Arial"/>
          <w:bCs/>
        </w:rPr>
        <w:t xml:space="preserve">, zum Beispiel der </w:t>
      </w:r>
      <w:proofErr w:type="spellStart"/>
      <w:r w:rsidRPr="001535FF">
        <w:rPr>
          <w:rFonts w:ascii="Arial" w:hAnsi="Arial" w:cs="Arial"/>
          <w:bCs/>
        </w:rPr>
        <w:t>Europäischen</w:t>
      </w:r>
      <w:proofErr w:type="spellEnd"/>
      <w:r w:rsidRPr="001535FF">
        <w:rPr>
          <w:rFonts w:ascii="Arial" w:hAnsi="Arial" w:cs="Arial"/>
          <w:bCs/>
        </w:rPr>
        <w:t xml:space="preserve"> Menschenrechtskonvention (EMRK) oder des </w:t>
      </w:r>
      <w:proofErr w:type="spellStart"/>
      <w:r w:rsidRPr="001535FF">
        <w:rPr>
          <w:rFonts w:ascii="Arial" w:hAnsi="Arial" w:cs="Arial"/>
          <w:bCs/>
        </w:rPr>
        <w:t>Personenfreizügigkeitsabkommens</w:t>
      </w:r>
      <w:proofErr w:type="spellEnd"/>
      <w:r w:rsidRPr="001535FF">
        <w:rPr>
          <w:rFonts w:ascii="Arial" w:hAnsi="Arial" w:cs="Arial"/>
          <w:bCs/>
        </w:rPr>
        <w:t xml:space="preserve"> mit der EU, nicht mehr eingehalten werden.</w:t>
      </w:r>
    </w:p>
    <w:p w14:paraId="70B16669" w14:textId="77777777" w:rsidR="001535FF" w:rsidRPr="001535FF" w:rsidRDefault="001535FF" w:rsidP="001535FF">
      <w:pPr>
        <w:widowControl w:val="0"/>
        <w:autoSpaceDE w:val="0"/>
        <w:autoSpaceDN w:val="0"/>
        <w:adjustRightInd w:val="0"/>
        <w:rPr>
          <w:rFonts w:ascii="Arial" w:hAnsi="Arial" w:cs="Arial"/>
          <w:b/>
          <w:bCs/>
        </w:rPr>
      </w:pPr>
    </w:p>
    <w:p w14:paraId="454BD29D" w14:textId="4BC473A6" w:rsidR="001535FF" w:rsidRPr="001535FF" w:rsidRDefault="001535FF" w:rsidP="00EC2366">
      <w:pPr>
        <w:widowControl w:val="0"/>
        <w:autoSpaceDE w:val="0"/>
        <w:autoSpaceDN w:val="0"/>
        <w:adjustRightInd w:val="0"/>
        <w:outlineLvl w:val="0"/>
        <w:rPr>
          <w:rFonts w:ascii="Arial" w:hAnsi="Arial" w:cs="Arial"/>
          <w:b/>
          <w:bCs/>
        </w:rPr>
      </w:pPr>
      <w:r w:rsidRPr="001535FF">
        <w:rPr>
          <w:rFonts w:ascii="Arial" w:hAnsi="Arial" w:cs="Arial"/>
          <w:b/>
          <w:bCs/>
        </w:rPr>
        <w:t>2.2. Undurchführbarkeit</w:t>
      </w:r>
    </w:p>
    <w:p w14:paraId="08DBB4D8" w14:textId="0176D0AF" w:rsidR="001535FF" w:rsidRPr="001535FF" w:rsidRDefault="001535FF" w:rsidP="001535FF">
      <w:pPr>
        <w:widowControl w:val="0"/>
        <w:autoSpaceDE w:val="0"/>
        <w:autoSpaceDN w:val="0"/>
        <w:adjustRightInd w:val="0"/>
        <w:rPr>
          <w:rFonts w:ascii="Arial" w:hAnsi="Arial" w:cs="Arial"/>
          <w:bCs/>
        </w:rPr>
      </w:pPr>
      <w:r w:rsidRPr="001535FF">
        <w:rPr>
          <w:rFonts w:ascii="Arial" w:hAnsi="Arial" w:cs="Arial"/>
          <w:bCs/>
        </w:rPr>
        <w:t xml:space="preserve">Die </w:t>
      </w:r>
      <w:proofErr w:type="spellStart"/>
      <w:r w:rsidRPr="001535FF">
        <w:rPr>
          <w:rFonts w:ascii="Arial" w:hAnsi="Arial" w:cs="Arial"/>
          <w:bCs/>
        </w:rPr>
        <w:t>Bundesbeh</w:t>
      </w:r>
      <w:r w:rsidR="00116EE5">
        <w:rPr>
          <w:rFonts w:ascii="Arial" w:hAnsi="Arial" w:cs="Arial"/>
          <w:bCs/>
        </w:rPr>
        <w:t>örden</w:t>
      </w:r>
      <w:proofErr w:type="spellEnd"/>
      <w:r w:rsidR="00116EE5">
        <w:rPr>
          <w:rFonts w:ascii="Arial" w:hAnsi="Arial" w:cs="Arial"/>
          <w:bCs/>
        </w:rPr>
        <w:t xml:space="preserve"> anerkannten </w:t>
      </w:r>
      <w:r w:rsidRPr="001535FF">
        <w:rPr>
          <w:rFonts w:ascii="Arial" w:hAnsi="Arial" w:cs="Arial"/>
          <w:bCs/>
        </w:rPr>
        <w:t xml:space="preserve">die faktische </w:t>
      </w:r>
      <w:proofErr w:type="spellStart"/>
      <w:r w:rsidRPr="001535FF">
        <w:rPr>
          <w:rFonts w:ascii="Arial" w:hAnsi="Arial" w:cs="Arial"/>
          <w:bCs/>
        </w:rPr>
        <w:t>Undurchführbarkeit</w:t>
      </w:r>
      <w:proofErr w:type="spellEnd"/>
      <w:r w:rsidRPr="001535FF">
        <w:rPr>
          <w:rFonts w:ascii="Arial" w:hAnsi="Arial" w:cs="Arial"/>
          <w:bCs/>
        </w:rPr>
        <w:t xml:space="preserve"> einer Initiative als ungeschriebene materielle Schranke d</w:t>
      </w:r>
      <w:r w:rsidR="00116EE5">
        <w:rPr>
          <w:rFonts w:ascii="Arial" w:hAnsi="Arial" w:cs="Arial"/>
          <w:bCs/>
        </w:rPr>
        <w:t>er Verfassungsrevision</w:t>
      </w:r>
      <w:r w:rsidRPr="001535FF">
        <w:rPr>
          <w:rFonts w:ascii="Arial" w:hAnsi="Arial" w:cs="Arial"/>
          <w:bCs/>
        </w:rPr>
        <w:t xml:space="preserve">. Stelle </w:t>
      </w:r>
      <w:proofErr w:type="gramStart"/>
      <w:r w:rsidRPr="001535FF">
        <w:rPr>
          <w:rFonts w:ascii="Arial" w:hAnsi="Arial" w:cs="Arial"/>
          <w:bCs/>
        </w:rPr>
        <w:t>eine</w:t>
      </w:r>
      <w:proofErr w:type="gramEnd"/>
      <w:r w:rsidRPr="001535FF">
        <w:rPr>
          <w:rFonts w:ascii="Arial" w:hAnsi="Arial" w:cs="Arial"/>
          <w:bCs/>
        </w:rPr>
        <w:t xml:space="preserve"> Initiative</w:t>
      </w:r>
      <w:r w:rsidR="00116EE5">
        <w:rPr>
          <w:rFonts w:ascii="Arial" w:hAnsi="Arial" w:cs="Arial"/>
          <w:bCs/>
        </w:rPr>
        <w:t xml:space="preserve"> ein Begehren, das </w:t>
      </w:r>
      <w:proofErr w:type="spellStart"/>
      <w:r w:rsidR="00116EE5">
        <w:rPr>
          <w:rFonts w:ascii="Arial" w:hAnsi="Arial" w:cs="Arial"/>
          <w:bCs/>
        </w:rPr>
        <w:t>unmöglich</w:t>
      </w:r>
      <w:proofErr w:type="spellEnd"/>
      <w:r w:rsidR="00116EE5">
        <w:rPr>
          <w:rFonts w:ascii="Arial" w:hAnsi="Arial" w:cs="Arial"/>
          <w:bCs/>
        </w:rPr>
        <w:t xml:space="preserve"> sei</w:t>
      </w:r>
      <w:r w:rsidRPr="001535FF">
        <w:rPr>
          <w:rFonts w:ascii="Arial" w:hAnsi="Arial" w:cs="Arial"/>
          <w:bCs/>
        </w:rPr>
        <w:t xml:space="preserve"> und </w:t>
      </w:r>
      <w:r w:rsidR="00116EE5">
        <w:rPr>
          <w:rFonts w:ascii="Arial" w:hAnsi="Arial" w:cs="Arial"/>
          <w:bCs/>
        </w:rPr>
        <w:t xml:space="preserve">somit nicht </w:t>
      </w:r>
      <w:proofErr w:type="spellStart"/>
      <w:r w:rsidR="00116EE5">
        <w:rPr>
          <w:rFonts w:ascii="Arial" w:hAnsi="Arial" w:cs="Arial"/>
          <w:bCs/>
        </w:rPr>
        <w:t>erfüllt</w:t>
      </w:r>
      <w:proofErr w:type="spellEnd"/>
      <w:r w:rsidR="00116EE5">
        <w:rPr>
          <w:rFonts w:ascii="Arial" w:hAnsi="Arial" w:cs="Arial"/>
          <w:bCs/>
        </w:rPr>
        <w:t xml:space="preserve"> werden könne</w:t>
      </w:r>
      <w:r w:rsidRPr="001535FF">
        <w:rPr>
          <w:rFonts w:ascii="Arial" w:hAnsi="Arial" w:cs="Arial"/>
          <w:bCs/>
        </w:rPr>
        <w:t>, sei es materiell gegenstandslos und dürfe nicht der Abstimmung unterbreitet werden</w:t>
      </w:r>
      <w:r w:rsidRPr="001535FF">
        <w:rPr>
          <w:rFonts w:ascii="Arial" w:hAnsi="Arial" w:cs="Arial"/>
          <w:bCs/>
          <w:vertAlign w:val="superscript"/>
        </w:rPr>
        <w:footnoteReference w:id="13"/>
      </w:r>
      <w:r w:rsidRPr="001535FF">
        <w:rPr>
          <w:rFonts w:ascii="Arial" w:hAnsi="Arial" w:cs="Arial"/>
          <w:bCs/>
        </w:rPr>
        <w:t xml:space="preserve">. So wurde die 1954 zustande gekommene </w:t>
      </w:r>
      <w:proofErr w:type="spellStart"/>
      <w:r w:rsidRPr="001535FF">
        <w:rPr>
          <w:rFonts w:ascii="Arial" w:hAnsi="Arial" w:cs="Arial"/>
          <w:bCs/>
        </w:rPr>
        <w:t>Chevallier</w:t>
      </w:r>
      <w:proofErr w:type="spellEnd"/>
      <w:r w:rsidRPr="001535FF">
        <w:rPr>
          <w:rFonts w:ascii="Arial" w:hAnsi="Arial" w:cs="Arial"/>
          <w:bCs/>
        </w:rPr>
        <w:t>-Initiative ungültig erklärt, weil sie die Kürzung von Ausgaben in Rechnungsjahren verlangte, die nach Inkrafttreten der Bestimmung bereits abgelaufen gewesen wären</w:t>
      </w:r>
      <w:r w:rsidRPr="001535FF">
        <w:rPr>
          <w:rFonts w:ascii="Arial" w:hAnsi="Arial" w:cs="Arial"/>
          <w:bCs/>
          <w:vertAlign w:val="superscript"/>
        </w:rPr>
        <w:footnoteReference w:id="14"/>
      </w:r>
      <w:r w:rsidRPr="001535FF">
        <w:rPr>
          <w:rFonts w:ascii="Arial" w:hAnsi="Arial" w:cs="Arial"/>
          <w:bCs/>
        </w:rPr>
        <w:t xml:space="preserve">. </w:t>
      </w:r>
    </w:p>
    <w:p w14:paraId="727CB7E7" w14:textId="77777777" w:rsidR="001535FF" w:rsidRDefault="001535FF" w:rsidP="0001730B">
      <w:pPr>
        <w:widowControl w:val="0"/>
        <w:autoSpaceDE w:val="0"/>
        <w:autoSpaceDN w:val="0"/>
        <w:adjustRightInd w:val="0"/>
        <w:rPr>
          <w:rFonts w:ascii="Arial" w:hAnsi="Arial" w:cs="Arial"/>
          <w:bCs/>
        </w:rPr>
      </w:pPr>
    </w:p>
    <w:p w14:paraId="119FEB7A" w14:textId="4A957441" w:rsidR="00232D9E" w:rsidRPr="00232D9E" w:rsidRDefault="00232D9E" w:rsidP="00EC2366">
      <w:pPr>
        <w:widowControl w:val="0"/>
        <w:autoSpaceDE w:val="0"/>
        <w:autoSpaceDN w:val="0"/>
        <w:adjustRightInd w:val="0"/>
        <w:outlineLvl w:val="0"/>
        <w:rPr>
          <w:rFonts w:ascii="Arial" w:hAnsi="Arial" w:cs="Arial"/>
          <w:b/>
          <w:bCs/>
        </w:rPr>
      </w:pPr>
      <w:r w:rsidRPr="00232D9E">
        <w:rPr>
          <w:rFonts w:ascii="Arial" w:hAnsi="Arial" w:cs="Arial"/>
          <w:b/>
          <w:bCs/>
        </w:rPr>
        <w:t>3. Un</w:t>
      </w:r>
      <w:r w:rsidR="0004298E">
        <w:rPr>
          <w:rFonts w:ascii="Arial" w:hAnsi="Arial" w:cs="Arial"/>
          <w:b/>
          <w:bCs/>
        </w:rPr>
        <w:t>haltbare Abweichung von der ursprünglichen Absicht des Verfassungsgebers</w:t>
      </w:r>
    </w:p>
    <w:p w14:paraId="0B8B3B89" w14:textId="4FB4D6E2" w:rsidR="00E35865" w:rsidRDefault="00232D9E" w:rsidP="00232D9E">
      <w:pPr>
        <w:widowControl w:val="0"/>
        <w:autoSpaceDE w:val="0"/>
        <w:autoSpaceDN w:val="0"/>
        <w:adjustRightInd w:val="0"/>
        <w:rPr>
          <w:rFonts w:ascii="Arial" w:hAnsi="Arial" w:cs="Arial"/>
          <w:bCs/>
        </w:rPr>
      </w:pPr>
      <w:r w:rsidRPr="00232D9E">
        <w:rPr>
          <w:rFonts w:ascii="Arial" w:hAnsi="Arial" w:cs="Arial"/>
          <w:bCs/>
        </w:rPr>
        <w:t>Es ist zu verstehen, wenn im Rahmen der Nachführung der Bundesverfassung lediglich die bislang ungeschriebene materielle Schranke des zwingenden Völkerrechts für Verfassungsänderungen</w:t>
      </w:r>
      <w:r>
        <w:rPr>
          <w:rFonts w:ascii="Arial" w:hAnsi="Arial" w:cs="Arial"/>
          <w:bCs/>
        </w:rPr>
        <w:t xml:space="preserve"> als </w:t>
      </w:r>
      <w:r w:rsidRPr="00232D9E">
        <w:rPr>
          <w:rFonts w:ascii="Arial" w:hAnsi="Arial" w:cs="Arial"/>
          <w:bCs/>
        </w:rPr>
        <w:t>Ungültigkeitsgrund, festge</w:t>
      </w:r>
      <w:r w:rsidR="00116EE5">
        <w:rPr>
          <w:rFonts w:ascii="Arial" w:hAnsi="Arial" w:cs="Arial"/>
          <w:bCs/>
        </w:rPr>
        <w:t>schrieben wurde.  Eine weiter gehende</w:t>
      </w:r>
      <w:r w:rsidRPr="00232D9E">
        <w:rPr>
          <w:rFonts w:ascii="Arial" w:hAnsi="Arial" w:cs="Arial"/>
          <w:bCs/>
        </w:rPr>
        <w:t xml:space="preserve"> Regelung drängte sich jedenfalls nicht </w:t>
      </w:r>
      <w:r w:rsidR="00E35865">
        <w:rPr>
          <w:rFonts w:ascii="Arial" w:hAnsi="Arial" w:cs="Arial"/>
          <w:bCs/>
        </w:rPr>
        <w:t xml:space="preserve">unbedingt </w:t>
      </w:r>
      <w:r w:rsidRPr="00232D9E">
        <w:rPr>
          <w:rFonts w:ascii="Arial" w:hAnsi="Arial" w:cs="Arial"/>
          <w:bCs/>
        </w:rPr>
        <w:t xml:space="preserve">auf, </w:t>
      </w:r>
      <w:proofErr w:type="gramStart"/>
      <w:r w:rsidRPr="00232D9E">
        <w:rPr>
          <w:rFonts w:ascii="Arial" w:hAnsi="Arial" w:cs="Arial"/>
          <w:bCs/>
        </w:rPr>
        <w:lastRenderedPageBreak/>
        <w:t>waren</w:t>
      </w:r>
      <w:proofErr w:type="gramEnd"/>
      <w:r w:rsidRPr="00232D9E">
        <w:rPr>
          <w:rFonts w:ascii="Arial" w:hAnsi="Arial" w:cs="Arial"/>
          <w:bCs/>
        </w:rPr>
        <w:t xml:space="preserve"> Bundesrat und Bund</w:t>
      </w:r>
      <w:r w:rsidR="00116EE5">
        <w:rPr>
          <w:rFonts w:ascii="Arial" w:hAnsi="Arial" w:cs="Arial"/>
          <w:bCs/>
        </w:rPr>
        <w:t xml:space="preserve">esversammlung bis dahin ja </w:t>
      </w:r>
      <w:r w:rsidRPr="00232D9E">
        <w:rPr>
          <w:rFonts w:ascii="Arial" w:hAnsi="Arial" w:cs="Arial"/>
          <w:bCs/>
        </w:rPr>
        <w:t xml:space="preserve">nicht mit grund- und menschenrechtswidrigen Initiativen konfrontiert. Daran, </w:t>
      </w:r>
      <w:r w:rsidR="00E35865">
        <w:rPr>
          <w:rFonts w:ascii="Arial" w:hAnsi="Arial" w:cs="Arial"/>
          <w:bCs/>
        </w:rPr>
        <w:t xml:space="preserve">dass dieser Ungültigkeitsgrund </w:t>
      </w:r>
      <w:r w:rsidRPr="00232D9E">
        <w:rPr>
          <w:rFonts w:ascii="Arial" w:hAnsi="Arial" w:cs="Arial"/>
          <w:bCs/>
        </w:rPr>
        <w:t xml:space="preserve">in Art. 139 </w:t>
      </w:r>
      <w:r w:rsidR="00E35865">
        <w:rPr>
          <w:rFonts w:ascii="Arial" w:hAnsi="Arial" w:cs="Arial"/>
          <w:bCs/>
        </w:rPr>
        <w:t xml:space="preserve">Abs. 3 BV </w:t>
      </w:r>
      <w:r w:rsidR="00116EE5">
        <w:rPr>
          <w:rFonts w:ascii="Arial" w:hAnsi="Arial" w:cs="Arial"/>
          <w:bCs/>
        </w:rPr>
        <w:t xml:space="preserve">ausdrücklich </w:t>
      </w:r>
      <w:r w:rsidRPr="00232D9E">
        <w:rPr>
          <w:rFonts w:ascii="Arial" w:hAnsi="Arial" w:cs="Arial"/>
          <w:bCs/>
        </w:rPr>
        <w:t xml:space="preserve">als eine nicht </w:t>
      </w:r>
      <w:proofErr w:type="spellStart"/>
      <w:r w:rsidRPr="00232D9E">
        <w:rPr>
          <w:rFonts w:ascii="Arial" w:hAnsi="Arial" w:cs="Arial"/>
          <w:bCs/>
        </w:rPr>
        <w:t>abschliessende</w:t>
      </w:r>
      <w:proofErr w:type="spellEnd"/>
      <w:r w:rsidRPr="00232D9E">
        <w:rPr>
          <w:rFonts w:ascii="Arial" w:hAnsi="Arial" w:cs="Arial"/>
          <w:bCs/>
        </w:rPr>
        <w:t xml:space="preserve"> Mindestschranke mit Entwicklungsmöglichkeiten aufgenommen wurde, hielten sich Bundesrat und Bundesversammlung hingegen</w:t>
      </w:r>
      <w:r w:rsidR="00E35865">
        <w:rPr>
          <w:rFonts w:ascii="Arial" w:hAnsi="Arial" w:cs="Arial"/>
          <w:bCs/>
        </w:rPr>
        <w:t xml:space="preserve"> </w:t>
      </w:r>
      <w:r w:rsidR="00BF78FD">
        <w:rPr>
          <w:rFonts w:ascii="Arial" w:hAnsi="Arial" w:cs="Arial"/>
          <w:bCs/>
        </w:rPr>
        <w:t>– obwohl es sich um eine re</w:t>
      </w:r>
      <w:r w:rsidR="00E35865">
        <w:rPr>
          <w:rFonts w:ascii="Arial" w:hAnsi="Arial" w:cs="Arial"/>
          <w:bCs/>
        </w:rPr>
        <w:t xml:space="preserve">chtliche Frage handelt aus </w:t>
      </w:r>
      <w:r w:rsidR="00BF78FD">
        <w:rPr>
          <w:rFonts w:ascii="Arial" w:hAnsi="Arial" w:cs="Arial"/>
          <w:bCs/>
        </w:rPr>
        <w:t>politischen Gründen und mangelndem Mut dem rechts</w:t>
      </w:r>
      <w:r w:rsidR="00702764">
        <w:rPr>
          <w:rFonts w:ascii="Arial" w:hAnsi="Arial" w:cs="Arial"/>
          <w:bCs/>
        </w:rPr>
        <w:t>populistischen Druck entgegenzutre</w:t>
      </w:r>
      <w:r w:rsidR="00E35865">
        <w:rPr>
          <w:rFonts w:ascii="Arial" w:hAnsi="Arial" w:cs="Arial"/>
          <w:bCs/>
        </w:rPr>
        <w:t>ten -</w:t>
      </w:r>
      <w:r w:rsidRPr="00232D9E">
        <w:rPr>
          <w:rFonts w:ascii="Arial" w:hAnsi="Arial" w:cs="Arial"/>
          <w:bCs/>
        </w:rPr>
        <w:t xml:space="preserve"> </w:t>
      </w:r>
      <w:r w:rsidR="00E35865" w:rsidRPr="00232D9E">
        <w:rPr>
          <w:rFonts w:ascii="Arial" w:hAnsi="Arial" w:cs="Arial"/>
          <w:bCs/>
        </w:rPr>
        <w:t>in einer nicht zu verstehenden Weise</w:t>
      </w:r>
      <w:r w:rsidR="00E35865">
        <w:rPr>
          <w:rFonts w:ascii="Arial" w:hAnsi="Arial" w:cs="Arial"/>
          <w:bCs/>
        </w:rPr>
        <w:t xml:space="preserve"> nicht,</w:t>
      </w:r>
      <w:r w:rsidR="00E35865" w:rsidRPr="00232D9E">
        <w:rPr>
          <w:rFonts w:ascii="Arial" w:hAnsi="Arial" w:cs="Arial"/>
          <w:bCs/>
        </w:rPr>
        <w:t xml:space="preserve"> </w:t>
      </w:r>
      <w:r w:rsidRPr="00232D9E">
        <w:rPr>
          <w:rFonts w:ascii="Arial" w:hAnsi="Arial" w:cs="Arial"/>
          <w:bCs/>
        </w:rPr>
        <w:t>zumal sich die wegen Verletzung grundlegender Menschenrechte nicht umsetzbare</w:t>
      </w:r>
      <w:r w:rsidR="00E35865">
        <w:rPr>
          <w:rFonts w:ascii="Arial" w:hAnsi="Arial" w:cs="Arial"/>
          <w:bCs/>
        </w:rPr>
        <w:t>n</w:t>
      </w:r>
      <w:r w:rsidRPr="00232D9E">
        <w:rPr>
          <w:rFonts w:ascii="Arial" w:hAnsi="Arial" w:cs="Arial"/>
          <w:bCs/>
        </w:rPr>
        <w:t xml:space="preserve"> Volksinitiativen nun häuften. </w:t>
      </w:r>
    </w:p>
    <w:p w14:paraId="461E354C" w14:textId="77777777" w:rsidR="00E35865" w:rsidRDefault="00E35865" w:rsidP="00232D9E">
      <w:pPr>
        <w:widowControl w:val="0"/>
        <w:autoSpaceDE w:val="0"/>
        <w:autoSpaceDN w:val="0"/>
        <w:adjustRightInd w:val="0"/>
        <w:rPr>
          <w:rFonts w:ascii="Arial" w:hAnsi="Arial" w:cs="Arial"/>
          <w:bCs/>
        </w:rPr>
      </w:pPr>
    </w:p>
    <w:p w14:paraId="6687E128" w14:textId="7D8A07A1" w:rsidR="005F28F1" w:rsidRDefault="00C24E93" w:rsidP="00232D9E">
      <w:pPr>
        <w:widowControl w:val="0"/>
        <w:autoSpaceDE w:val="0"/>
        <w:autoSpaceDN w:val="0"/>
        <w:adjustRightInd w:val="0"/>
        <w:rPr>
          <w:rFonts w:ascii="Arial" w:hAnsi="Arial" w:cs="Arial"/>
          <w:bCs/>
        </w:rPr>
      </w:pPr>
      <w:r>
        <w:rPr>
          <w:rFonts w:ascii="Arial" w:hAnsi="Arial" w:cs="Arial"/>
          <w:bCs/>
        </w:rPr>
        <w:t xml:space="preserve">Auch </w:t>
      </w:r>
      <w:r w:rsidR="00702764">
        <w:rPr>
          <w:rFonts w:ascii="Arial" w:hAnsi="Arial" w:cs="Arial"/>
          <w:bCs/>
        </w:rPr>
        <w:t xml:space="preserve">das Bundesgericht und </w:t>
      </w:r>
      <w:r w:rsidR="00F52E27">
        <w:rPr>
          <w:rFonts w:ascii="Arial" w:hAnsi="Arial" w:cs="Arial"/>
          <w:bCs/>
        </w:rPr>
        <w:t xml:space="preserve">teilweise  </w:t>
      </w:r>
      <w:r w:rsidR="00702764">
        <w:rPr>
          <w:rFonts w:ascii="Arial" w:hAnsi="Arial" w:cs="Arial"/>
          <w:bCs/>
        </w:rPr>
        <w:t>die Lehre gehen</w:t>
      </w:r>
      <w:r w:rsidRPr="00C24E93">
        <w:rPr>
          <w:rFonts w:ascii="Arial" w:hAnsi="Arial" w:cs="Arial"/>
          <w:bCs/>
        </w:rPr>
        <w:t xml:space="preserve"> zu schnell und zu Unrecht davon aus, die alleinige ausdrückliche materielle Schranke des „zwingenden Völkerrechts“ für Volksinitiativen auf Tei</w:t>
      </w:r>
      <w:r w:rsidR="00E35865">
        <w:rPr>
          <w:rFonts w:ascii="Arial" w:hAnsi="Arial" w:cs="Arial"/>
          <w:bCs/>
        </w:rPr>
        <w:t>lrevision</w:t>
      </w:r>
      <w:r w:rsidR="00552A05">
        <w:rPr>
          <w:rFonts w:ascii="Arial" w:hAnsi="Arial" w:cs="Arial"/>
          <w:bCs/>
        </w:rPr>
        <w:t>en</w:t>
      </w:r>
      <w:r w:rsidR="00E35865">
        <w:rPr>
          <w:rFonts w:ascii="Arial" w:hAnsi="Arial" w:cs="Arial"/>
          <w:bCs/>
        </w:rPr>
        <w:t xml:space="preserve"> </w:t>
      </w:r>
      <w:r w:rsidRPr="00C24E93">
        <w:rPr>
          <w:rFonts w:ascii="Arial" w:hAnsi="Arial" w:cs="Arial"/>
          <w:bCs/>
        </w:rPr>
        <w:t xml:space="preserve">impliziere den Gegenschluss, dass ein </w:t>
      </w:r>
      <w:proofErr w:type="spellStart"/>
      <w:r w:rsidRPr="00C24E93">
        <w:rPr>
          <w:rFonts w:ascii="Arial" w:hAnsi="Arial" w:cs="Arial"/>
          <w:bCs/>
        </w:rPr>
        <w:t>Verstoss</w:t>
      </w:r>
      <w:proofErr w:type="spellEnd"/>
      <w:r w:rsidRPr="00C24E93">
        <w:rPr>
          <w:rFonts w:ascii="Arial" w:hAnsi="Arial" w:cs="Arial"/>
          <w:bCs/>
        </w:rPr>
        <w:t xml:space="preserve"> gegen „normales“ Völkerrecht damit als Ungültigkeitsgrund ausgeschlossen sei</w:t>
      </w:r>
      <w:r w:rsidRPr="00C24E93">
        <w:rPr>
          <w:rFonts w:ascii="Arial" w:hAnsi="Arial" w:cs="Arial"/>
          <w:bCs/>
          <w:vertAlign w:val="superscript"/>
        </w:rPr>
        <w:footnoteReference w:id="15"/>
      </w:r>
      <w:r w:rsidRPr="00C24E93">
        <w:rPr>
          <w:rFonts w:ascii="Arial" w:hAnsi="Arial" w:cs="Arial"/>
          <w:bCs/>
        </w:rPr>
        <w:t xml:space="preserve">. Bereits der Wortlaut – „oder“ und nicht „und“ in der Aufzählung der Ungültigkeitsgründe – legt dies nahe. Und die </w:t>
      </w:r>
      <w:r>
        <w:rPr>
          <w:rFonts w:ascii="Arial" w:hAnsi="Arial" w:cs="Arial"/>
          <w:bCs/>
        </w:rPr>
        <w:t xml:space="preserve">dargelegte </w:t>
      </w:r>
      <w:r w:rsidRPr="00C24E93">
        <w:rPr>
          <w:rFonts w:ascii="Arial" w:hAnsi="Arial" w:cs="Arial"/>
          <w:bCs/>
        </w:rPr>
        <w:t xml:space="preserve">Entstehungsgeschichte zeigt </w:t>
      </w:r>
      <w:r>
        <w:rPr>
          <w:rFonts w:ascii="Arial" w:hAnsi="Arial" w:cs="Arial"/>
          <w:bCs/>
        </w:rPr>
        <w:t>klar</w:t>
      </w:r>
      <w:r w:rsidRPr="00C24E93">
        <w:rPr>
          <w:rFonts w:ascii="Arial" w:hAnsi="Arial" w:cs="Arial"/>
          <w:bCs/>
        </w:rPr>
        <w:t xml:space="preserve"> das Gegenteil auf. </w:t>
      </w:r>
      <w:r w:rsidR="00552A05">
        <w:rPr>
          <w:rFonts w:ascii="Arial" w:hAnsi="Arial" w:cs="Arial"/>
          <w:bCs/>
        </w:rPr>
        <w:t xml:space="preserve">Praxis und Lehre erkennen zudem </w:t>
      </w:r>
      <w:r w:rsidR="005F28F1" w:rsidRPr="005F28F1">
        <w:rPr>
          <w:rFonts w:ascii="Arial" w:hAnsi="Arial" w:cs="Arial"/>
          <w:bCs/>
        </w:rPr>
        <w:t xml:space="preserve">auch die faktische Undurchführbarkeit als </w:t>
      </w:r>
      <w:r w:rsidR="00F52E27">
        <w:rPr>
          <w:rFonts w:ascii="Arial" w:hAnsi="Arial" w:cs="Arial"/>
          <w:bCs/>
        </w:rPr>
        <w:t xml:space="preserve">einen </w:t>
      </w:r>
      <w:r w:rsidR="005F28F1" w:rsidRPr="005F28F1">
        <w:rPr>
          <w:rFonts w:ascii="Arial" w:hAnsi="Arial" w:cs="Arial"/>
          <w:bCs/>
        </w:rPr>
        <w:t xml:space="preserve">über </w:t>
      </w:r>
      <w:r w:rsidR="00F52E27">
        <w:rPr>
          <w:rFonts w:ascii="Arial" w:hAnsi="Arial" w:cs="Arial"/>
          <w:bCs/>
        </w:rPr>
        <w:t xml:space="preserve">die in der Verfassung ausdrücklich genannten </w:t>
      </w:r>
      <w:r w:rsidR="005F28F1" w:rsidRPr="005F28F1">
        <w:rPr>
          <w:rFonts w:ascii="Arial" w:hAnsi="Arial" w:cs="Arial"/>
          <w:bCs/>
        </w:rPr>
        <w:t xml:space="preserve">Ungültigkeitsgründe hinaus </w:t>
      </w:r>
      <w:proofErr w:type="gramStart"/>
      <w:r w:rsidR="005F28F1" w:rsidRPr="005F28F1">
        <w:rPr>
          <w:rFonts w:ascii="Arial" w:hAnsi="Arial" w:cs="Arial"/>
          <w:bCs/>
        </w:rPr>
        <w:t>gehender</w:t>
      </w:r>
      <w:proofErr w:type="gramEnd"/>
      <w:r w:rsidR="005F28F1" w:rsidRPr="005F28F1">
        <w:rPr>
          <w:rFonts w:ascii="Arial" w:hAnsi="Arial" w:cs="Arial"/>
          <w:bCs/>
        </w:rPr>
        <w:t xml:space="preserve"> Ungültigkeitsgrund an</w:t>
      </w:r>
      <w:r w:rsidR="005F28F1" w:rsidRPr="005F28F1">
        <w:rPr>
          <w:rFonts w:ascii="Arial" w:hAnsi="Arial" w:cs="Arial"/>
          <w:bCs/>
          <w:vertAlign w:val="superscript"/>
        </w:rPr>
        <w:footnoteReference w:id="16"/>
      </w:r>
      <w:r w:rsidR="005F28F1">
        <w:rPr>
          <w:rFonts w:ascii="Arial" w:hAnsi="Arial" w:cs="Arial"/>
          <w:bCs/>
        </w:rPr>
        <w:t xml:space="preserve">. </w:t>
      </w:r>
    </w:p>
    <w:p w14:paraId="70F50AF8" w14:textId="77777777" w:rsidR="005F28F1" w:rsidRDefault="005F28F1" w:rsidP="00232D9E">
      <w:pPr>
        <w:widowControl w:val="0"/>
        <w:autoSpaceDE w:val="0"/>
        <w:autoSpaceDN w:val="0"/>
        <w:adjustRightInd w:val="0"/>
        <w:rPr>
          <w:rFonts w:ascii="Arial" w:hAnsi="Arial" w:cs="Arial"/>
          <w:bCs/>
        </w:rPr>
      </w:pPr>
    </w:p>
    <w:p w14:paraId="3F195DB8" w14:textId="3CE5AFCC" w:rsidR="00232D9E" w:rsidRPr="00232D9E" w:rsidRDefault="00C24E93" w:rsidP="00232D9E">
      <w:pPr>
        <w:widowControl w:val="0"/>
        <w:autoSpaceDE w:val="0"/>
        <w:autoSpaceDN w:val="0"/>
        <w:adjustRightInd w:val="0"/>
        <w:rPr>
          <w:rFonts w:ascii="Arial" w:hAnsi="Arial" w:cs="Arial"/>
          <w:bCs/>
        </w:rPr>
      </w:pPr>
      <w:r>
        <w:rPr>
          <w:rFonts w:ascii="Arial" w:hAnsi="Arial" w:cs="Arial"/>
          <w:bCs/>
        </w:rPr>
        <w:t>Bundesrat und Bundesversammlung prüfte</w:t>
      </w:r>
      <w:r w:rsidR="00E42F35">
        <w:rPr>
          <w:rFonts w:ascii="Arial" w:hAnsi="Arial" w:cs="Arial"/>
          <w:bCs/>
        </w:rPr>
        <w:t xml:space="preserve">n zu Unrecht und in unhaltbarer Weise </w:t>
      </w:r>
      <w:r w:rsidR="00232D9E" w:rsidRPr="00232D9E">
        <w:rPr>
          <w:rFonts w:ascii="Arial" w:hAnsi="Arial" w:cs="Arial"/>
          <w:bCs/>
        </w:rPr>
        <w:t>entgegen der ursp</w:t>
      </w:r>
      <w:r w:rsidR="00E42F35">
        <w:rPr>
          <w:rFonts w:ascii="Arial" w:hAnsi="Arial" w:cs="Arial"/>
          <w:bCs/>
        </w:rPr>
        <w:t>rünglichen Absicht</w:t>
      </w:r>
      <w:r w:rsidR="00FE7E32">
        <w:rPr>
          <w:rFonts w:ascii="Arial" w:hAnsi="Arial" w:cs="Arial"/>
          <w:bCs/>
        </w:rPr>
        <w:t xml:space="preserve"> bisher nicht</w:t>
      </w:r>
      <w:r w:rsidR="00BF78FD">
        <w:rPr>
          <w:rFonts w:ascii="Arial" w:hAnsi="Arial" w:cs="Arial"/>
          <w:bCs/>
        </w:rPr>
        <w:t>, ob die angeführten</w:t>
      </w:r>
      <w:r w:rsidR="00232D9E" w:rsidRPr="00232D9E">
        <w:rPr>
          <w:rFonts w:ascii="Arial" w:hAnsi="Arial" w:cs="Arial"/>
          <w:bCs/>
        </w:rPr>
        <w:t xml:space="preserve"> Initiativen nicht im Sinne der Weiterentwicklung des Begriffs des zwingenden Völkerrechts hätten ungültig erklärt werden können und müssen. Eine Erweiterung der Ungültigkeitsgründe in diese Richtung wäre durch den </w:t>
      </w:r>
      <w:r w:rsidR="00BF78FD">
        <w:rPr>
          <w:rFonts w:ascii="Arial" w:hAnsi="Arial" w:cs="Arial"/>
          <w:bCs/>
        </w:rPr>
        <w:t xml:space="preserve">bei der Nachführung der Bundesverfassung </w:t>
      </w:r>
      <w:r w:rsidR="00232D9E" w:rsidRPr="00232D9E">
        <w:rPr>
          <w:rFonts w:ascii="Arial" w:hAnsi="Arial" w:cs="Arial"/>
          <w:bCs/>
        </w:rPr>
        <w:t xml:space="preserve">klar bekundeten Willen, „zumindest“ bei Verletzung zwingenden Völkerrechts eine Initiative ungültig zu erklären, </w:t>
      </w:r>
      <w:r w:rsidR="00552A05">
        <w:rPr>
          <w:rFonts w:ascii="Arial" w:hAnsi="Arial" w:cs="Arial"/>
          <w:bCs/>
        </w:rPr>
        <w:t xml:space="preserve">nicht nur </w:t>
      </w:r>
      <w:r w:rsidR="00232D9E" w:rsidRPr="00232D9E">
        <w:rPr>
          <w:rFonts w:ascii="Arial" w:hAnsi="Arial" w:cs="Arial"/>
          <w:bCs/>
        </w:rPr>
        <w:t>gerechtfertigt</w:t>
      </w:r>
      <w:r w:rsidR="00552A05">
        <w:rPr>
          <w:rFonts w:ascii="Arial" w:hAnsi="Arial" w:cs="Arial"/>
          <w:bCs/>
        </w:rPr>
        <w:t>, sondern geboten</w:t>
      </w:r>
      <w:r w:rsidR="00232D9E" w:rsidRPr="00232D9E">
        <w:rPr>
          <w:rFonts w:ascii="Arial" w:hAnsi="Arial" w:cs="Arial"/>
          <w:bCs/>
        </w:rPr>
        <w:t xml:space="preserve"> gewesen. Nachdem der Begriff „zwingende</w:t>
      </w:r>
      <w:r w:rsidR="003619AD">
        <w:rPr>
          <w:rFonts w:ascii="Arial" w:hAnsi="Arial" w:cs="Arial"/>
          <w:bCs/>
        </w:rPr>
        <w:t xml:space="preserve"> Bestimmungen des Völkerrechts“ </w:t>
      </w:r>
      <w:proofErr w:type="spellStart"/>
      <w:r w:rsidR="00293043">
        <w:rPr>
          <w:rFonts w:ascii="Arial" w:hAnsi="Arial" w:cs="Arial"/>
          <w:bCs/>
        </w:rPr>
        <w:t>Thürer</w:t>
      </w:r>
      <w:proofErr w:type="spellEnd"/>
      <w:r w:rsidR="00293043">
        <w:rPr>
          <w:rFonts w:ascii="Arial" w:hAnsi="Arial" w:cs="Arial"/>
          <w:bCs/>
        </w:rPr>
        <w:t xml:space="preserve"> folgend</w:t>
      </w:r>
      <w:r w:rsidR="00232D9E" w:rsidRPr="00232D9E">
        <w:rPr>
          <w:rFonts w:ascii="Arial" w:hAnsi="Arial" w:cs="Arial"/>
          <w:bCs/>
          <w:vertAlign w:val="superscript"/>
        </w:rPr>
        <w:footnoteReference w:id="17"/>
      </w:r>
      <w:r w:rsidR="00232D9E" w:rsidRPr="00232D9E">
        <w:rPr>
          <w:rFonts w:ascii="Arial" w:hAnsi="Arial" w:cs="Arial"/>
          <w:bCs/>
        </w:rPr>
        <w:t xml:space="preserve"> als ein landesrechtlicher Begriff verstanden wurde</w:t>
      </w:r>
      <w:r w:rsidR="00232D9E" w:rsidRPr="00232D9E">
        <w:rPr>
          <w:rFonts w:ascii="Arial" w:hAnsi="Arial" w:cs="Arial"/>
          <w:bCs/>
          <w:vertAlign w:val="superscript"/>
        </w:rPr>
        <w:footnoteReference w:id="18"/>
      </w:r>
      <w:r w:rsidR="00232D9E" w:rsidRPr="00232D9E">
        <w:rPr>
          <w:rFonts w:ascii="Arial" w:hAnsi="Arial" w:cs="Arial"/>
          <w:bCs/>
        </w:rPr>
        <w:t xml:space="preserve">, bestünde dazu auch ein erheblicher Spielraum. In Verbindung damit, dass es sich um einen eigenen staatsrechtlichen Begriff handelt, erweitert der Hinweis </w:t>
      </w:r>
      <w:r w:rsidR="00552A05">
        <w:rPr>
          <w:rFonts w:ascii="Arial" w:hAnsi="Arial" w:cs="Arial"/>
          <w:bCs/>
        </w:rPr>
        <w:t xml:space="preserve">auch </w:t>
      </w:r>
      <w:r w:rsidR="00552A05" w:rsidRPr="00232D9E">
        <w:rPr>
          <w:rFonts w:ascii="Arial" w:hAnsi="Arial" w:cs="Arial"/>
          <w:bCs/>
        </w:rPr>
        <w:t xml:space="preserve">bei der Erläuterung der Schranke des Rechts für alles staatliche Handeln nach Art. 5 Abs. 1 BV  </w:t>
      </w:r>
      <w:r w:rsidR="00232D9E" w:rsidRPr="00232D9E">
        <w:rPr>
          <w:rFonts w:ascii="Arial" w:hAnsi="Arial" w:cs="Arial"/>
          <w:bCs/>
        </w:rPr>
        <w:t>auf d</w:t>
      </w:r>
      <w:r w:rsidR="00552A05">
        <w:rPr>
          <w:rFonts w:ascii="Arial" w:hAnsi="Arial" w:cs="Arial"/>
          <w:bCs/>
        </w:rPr>
        <w:t>as „zwingende Völkerrecht“,</w:t>
      </w:r>
      <w:r w:rsidR="00232D9E" w:rsidRPr="00232D9E">
        <w:rPr>
          <w:rFonts w:ascii="Arial" w:hAnsi="Arial" w:cs="Arial"/>
          <w:bCs/>
        </w:rPr>
        <w:t xml:space="preserve"> die Weiterentwicklungsmöglichkeiten bei diesem Ungültigkeitsgrund für Volksinitiativen auf Teilrevision der Bundesverfassung zusätzlich.</w:t>
      </w:r>
    </w:p>
    <w:p w14:paraId="4B2D30BD" w14:textId="77777777" w:rsidR="00232D9E" w:rsidRPr="00232D9E" w:rsidRDefault="00232D9E" w:rsidP="00232D9E">
      <w:pPr>
        <w:widowControl w:val="0"/>
        <w:autoSpaceDE w:val="0"/>
        <w:autoSpaceDN w:val="0"/>
        <w:adjustRightInd w:val="0"/>
        <w:rPr>
          <w:rFonts w:ascii="Arial" w:hAnsi="Arial" w:cs="Arial"/>
          <w:bCs/>
        </w:rPr>
      </w:pPr>
    </w:p>
    <w:p w14:paraId="1FB394C9" w14:textId="40C90A37" w:rsidR="00232D9E" w:rsidRDefault="00232D9E" w:rsidP="00232D9E">
      <w:pPr>
        <w:widowControl w:val="0"/>
        <w:autoSpaceDE w:val="0"/>
        <w:autoSpaceDN w:val="0"/>
        <w:adjustRightInd w:val="0"/>
        <w:rPr>
          <w:rFonts w:ascii="Arial" w:hAnsi="Arial" w:cs="Arial"/>
          <w:bCs/>
        </w:rPr>
      </w:pPr>
      <w:r w:rsidRPr="00232D9E">
        <w:rPr>
          <w:rFonts w:ascii="Arial" w:hAnsi="Arial" w:cs="Arial"/>
          <w:bCs/>
        </w:rPr>
        <w:t>Der Ungültigkeitsgrund des zwinge</w:t>
      </w:r>
      <w:r w:rsidR="00552A05">
        <w:rPr>
          <w:rFonts w:ascii="Arial" w:hAnsi="Arial" w:cs="Arial"/>
          <w:bCs/>
        </w:rPr>
        <w:t>nden Völkerrechts wurde demgegenüber</w:t>
      </w:r>
      <w:r w:rsidRPr="00232D9E">
        <w:rPr>
          <w:rFonts w:ascii="Arial" w:hAnsi="Arial" w:cs="Arial"/>
          <w:bCs/>
        </w:rPr>
        <w:t>,</w:t>
      </w:r>
      <w:r w:rsidR="00293043">
        <w:rPr>
          <w:rFonts w:ascii="Arial" w:hAnsi="Arial" w:cs="Arial"/>
          <w:bCs/>
        </w:rPr>
        <w:t xml:space="preserve"> anstatt ihn, wie beabsichtigt </w:t>
      </w:r>
      <w:r w:rsidRPr="00232D9E">
        <w:rPr>
          <w:rFonts w:ascii="Arial" w:hAnsi="Arial" w:cs="Arial"/>
          <w:bCs/>
        </w:rPr>
        <w:t>zu erweiter</w:t>
      </w:r>
      <w:r w:rsidR="004E70D7">
        <w:rPr>
          <w:rFonts w:ascii="Arial" w:hAnsi="Arial" w:cs="Arial"/>
          <w:bCs/>
        </w:rPr>
        <w:t xml:space="preserve">n, vielmehr entgegen </w:t>
      </w:r>
      <w:r w:rsidR="00293043">
        <w:rPr>
          <w:rFonts w:ascii="Arial" w:hAnsi="Arial" w:cs="Arial"/>
          <w:bCs/>
        </w:rPr>
        <w:t>den Erklärungen in den Materialien</w:t>
      </w:r>
      <w:r w:rsidRPr="00232D9E">
        <w:rPr>
          <w:rFonts w:ascii="Arial" w:hAnsi="Arial" w:cs="Arial"/>
          <w:bCs/>
        </w:rPr>
        <w:t xml:space="preserve"> eingeengt, wie dies aus </w:t>
      </w:r>
      <w:r w:rsidR="00E42F35">
        <w:rPr>
          <w:rFonts w:ascii="Arial" w:hAnsi="Arial" w:cs="Arial"/>
          <w:bCs/>
        </w:rPr>
        <w:t xml:space="preserve">den </w:t>
      </w:r>
      <w:r w:rsidRPr="00232D9E">
        <w:rPr>
          <w:rFonts w:ascii="Arial" w:hAnsi="Arial" w:cs="Arial"/>
          <w:bCs/>
        </w:rPr>
        <w:t>angeführten Entscheiden der Bundesversammlung und ihren Begründungen</w:t>
      </w:r>
      <w:r w:rsidR="004E70D7">
        <w:rPr>
          <w:rStyle w:val="Funotenzeichen"/>
          <w:rFonts w:ascii="Arial" w:hAnsi="Arial" w:cs="Arial"/>
          <w:bCs/>
        </w:rPr>
        <w:footnoteReference w:id="19"/>
      </w:r>
      <w:r w:rsidRPr="00232D9E">
        <w:rPr>
          <w:rFonts w:ascii="Arial" w:hAnsi="Arial" w:cs="Arial"/>
          <w:bCs/>
        </w:rPr>
        <w:t xml:space="preserve"> ersichtlich ist. Vom ursprünglichen Verständnis des Begriffs des zwingenden Völkerrechts dahin, ein Rechtsstaat könne sich nicht über völkerrechtliche Normen hinwegsetzen, die international als elementare Bestimmungen zum Schutz fundamentalster Grundrechte und des </w:t>
      </w:r>
      <w:r w:rsidRPr="00232D9E">
        <w:rPr>
          <w:rFonts w:ascii="Arial" w:hAnsi="Arial" w:cs="Arial"/>
          <w:bCs/>
        </w:rPr>
        <w:lastRenderedPageBreak/>
        <w:t>humanitären Völkerrechts verstanden werden und die unabhängig von der Ratifikation oder Kündigung der entsprechenden völkerrechtlichen Verträge einen für alle Rechtsstaaten verbindlichen Charakter aufwiesen</w:t>
      </w:r>
      <w:r w:rsidRPr="00232D9E">
        <w:rPr>
          <w:rFonts w:ascii="Arial" w:hAnsi="Arial" w:cs="Arial"/>
          <w:bCs/>
          <w:vertAlign w:val="superscript"/>
        </w:rPr>
        <w:footnoteReference w:id="20"/>
      </w:r>
      <w:r w:rsidRPr="00232D9E">
        <w:rPr>
          <w:rFonts w:ascii="Arial" w:hAnsi="Arial" w:cs="Arial"/>
          <w:bCs/>
        </w:rPr>
        <w:t xml:space="preserve">, wichen Bundesrat und Bundesversammlung </w:t>
      </w:r>
      <w:r w:rsidR="00E42F35">
        <w:rPr>
          <w:rFonts w:ascii="Arial" w:hAnsi="Arial" w:cs="Arial"/>
          <w:bCs/>
        </w:rPr>
        <w:t xml:space="preserve">leider </w:t>
      </w:r>
      <w:r w:rsidRPr="00232D9E">
        <w:rPr>
          <w:rFonts w:ascii="Arial" w:hAnsi="Arial" w:cs="Arial"/>
          <w:bCs/>
        </w:rPr>
        <w:t>gänzlich ab.</w:t>
      </w:r>
    </w:p>
    <w:p w14:paraId="091A1D9D" w14:textId="3AF94A8F" w:rsidR="0004298E" w:rsidRDefault="0004298E" w:rsidP="00232D9E">
      <w:pPr>
        <w:widowControl w:val="0"/>
        <w:autoSpaceDE w:val="0"/>
        <w:autoSpaceDN w:val="0"/>
        <w:adjustRightInd w:val="0"/>
        <w:rPr>
          <w:rFonts w:ascii="Arial" w:hAnsi="Arial" w:cs="Arial"/>
          <w:bCs/>
        </w:rPr>
      </w:pPr>
    </w:p>
    <w:p w14:paraId="4EE3FEA0" w14:textId="29CEADAB" w:rsidR="00DE7051" w:rsidRDefault="00D866A2" w:rsidP="007836CB">
      <w:pPr>
        <w:widowControl w:val="0"/>
        <w:autoSpaceDE w:val="0"/>
        <w:autoSpaceDN w:val="0"/>
        <w:adjustRightInd w:val="0"/>
        <w:rPr>
          <w:rFonts w:ascii="Arial" w:hAnsi="Arial" w:cs="Arial"/>
          <w:b/>
          <w:bCs/>
        </w:rPr>
      </w:pPr>
      <w:r>
        <w:rPr>
          <w:rFonts w:ascii="Arial" w:hAnsi="Arial" w:cs="Arial"/>
          <w:b/>
          <w:bCs/>
        </w:rPr>
        <w:t xml:space="preserve">4. </w:t>
      </w:r>
      <w:r w:rsidR="003619AD">
        <w:rPr>
          <w:rFonts w:ascii="Arial" w:hAnsi="Arial" w:cs="Arial"/>
          <w:b/>
          <w:bCs/>
        </w:rPr>
        <w:t>Handlungsbedarf zur Wahrung echter Demokratie</w:t>
      </w:r>
    </w:p>
    <w:p w14:paraId="1F2C1DBA" w14:textId="6299D05B" w:rsidR="007836CB" w:rsidRPr="00EC2366" w:rsidRDefault="00DE7051" w:rsidP="007836CB">
      <w:pPr>
        <w:widowControl w:val="0"/>
        <w:autoSpaceDE w:val="0"/>
        <w:autoSpaceDN w:val="0"/>
        <w:adjustRightInd w:val="0"/>
        <w:rPr>
          <w:rFonts w:ascii="Arial" w:hAnsi="Arial" w:cs="Arial"/>
          <w:b/>
          <w:bCs/>
          <w:lang w:val="de-CH"/>
        </w:rPr>
      </w:pPr>
      <w:r w:rsidRPr="00A9105D">
        <w:rPr>
          <w:rFonts w:ascii="Arial" w:hAnsi="Arial" w:cs="Arial"/>
          <w:b/>
          <w:bCs/>
          <w:lang w:val="de-CH"/>
        </w:rPr>
        <w:t>4.1. Die Untr</w:t>
      </w:r>
      <w:r>
        <w:rPr>
          <w:rFonts w:ascii="Arial" w:hAnsi="Arial" w:cs="Arial"/>
          <w:b/>
          <w:bCs/>
          <w:lang w:val="de-CH"/>
        </w:rPr>
        <w:t>ennbarkeit von Demokratie</w:t>
      </w:r>
      <w:r w:rsidRPr="00A9105D">
        <w:rPr>
          <w:rFonts w:ascii="Arial" w:hAnsi="Arial" w:cs="Arial"/>
          <w:b/>
          <w:bCs/>
          <w:lang w:val="de-CH"/>
        </w:rPr>
        <w:t xml:space="preserve"> und Menschenrechten</w:t>
      </w:r>
    </w:p>
    <w:p w14:paraId="08AE339C" w14:textId="6BA9F980" w:rsidR="007836CB" w:rsidRPr="007836CB" w:rsidRDefault="007836CB" w:rsidP="007836CB">
      <w:pPr>
        <w:widowControl w:val="0"/>
        <w:autoSpaceDE w:val="0"/>
        <w:autoSpaceDN w:val="0"/>
        <w:adjustRightInd w:val="0"/>
        <w:rPr>
          <w:rFonts w:ascii="Arial" w:hAnsi="Arial" w:cs="Arial"/>
          <w:bCs/>
        </w:rPr>
      </w:pPr>
      <w:r w:rsidRPr="007836CB">
        <w:rPr>
          <w:rFonts w:ascii="Arial" w:hAnsi="Arial" w:cs="Arial"/>
          <w:bCs/>
        </w:rPr>
        <w:t>Demokratie ist die Herrschaft des Volkes. Ein Volk b</w:t>
      </w:r>
      <w:r w:rsidR="004E70D7">
        <w:rPr>
          <w:rFonts w:ascii="Arial" w:hAnsi="Arial" w:cs="Arial"/>
          <w:bCs/>
        </w:rPr>
        <w:t>esteht aus Menschen, denen allen</w:t>
      </w:r>
      <w:r w:rsidRPr="007836CB">
        <w:rPr>
          <w:rFonts w:ascii="Arial" w:hAnsi="Arial" w:cs="Arial"/>
          <w:bCs/>
        </w:rPr>
        <w:t xml:space="preserve"> die</w:t>
      </w:r>
      <w:r w:rsidR="004E70D7">
        <w:rPr>
          <w:rFonts w:ascii="Arial" w:hAnsi="Arial" w:cs="Arial"/>
          <w:bCs/>
        </w:rPr>
        <w:t xml:space="preserve"> gleiche Würde zukommt und</w:t>
      </w:r>
      <w:r w:rsidRPr="007836CB">
        <w:rPr>
          <w:rFonts w:ascii="Arial" w:hAnsi="Arial" w:cs="Arial"/>
          <w:bCs/>
        </w:rPr>
        <w:t xml:space="preserve"> jedem damit auch </w:t>
      </w:r>
      <w:r w:rsidR="007A2E98">
        <w:rPr>
          <w:rFonts w:ascii="Arial" w:hAnsi="Arial" w:cs="Arial"/>
          <w:bCs/>
        </w:rPr>
        <w:t>die gleichen R</w:t>
      </w:r>
      <w:r w:rsidRPr="007836CB">
        <w:rPr>
          <w:rFonts w:ascii="Arial" w:hAnsi="Arial" w:cs="Arial"/>
          <w:bCs/>
        </w:rPr>
        <w:t>echte, die diese Würde gewährleisten, zustehen.</w:t>
      </w:r>
      <w:r w:rsidR="003619AD">
        <w:rPr>
          <w:rFonts w:ascii="Arial" w:hAnsi="Arial" w:cs="Arial"/>
          <w:bCs/>
        </w:rPr>
        <w:t xml:space="preserve"> </w:t>
      </w:r>
      <w:r w:rsidRPr="007836CB">
        <w:rPr>
          <w:rFonts w:ascii="Arial" w:hAnsi="Arial" w:cs="Arial"/>
          <w:bCs/>
        </w:rPr>
        <w:t xml:space="preserve">Diese </w:t>
      </w:r>
      <w:r w:rsidR="004E70D7">
        <w:rPr>
          <w:rFonts w:ascii="Arial" w:hAnsi="Arial" w:cs="Arial"/>
          <w:bCs/>
        </w:rPr>
        <w:t xml:space="preserve">Rechte </w:t>
      </w:r>
      <w:proofErr w:type="spellStart"/>
      <w:r w:rsidRPr="007836CB">
        <w:rPr>
          <w:rFonts w:ascii="Arial" w:hAnsi="Arial" w:cs="Arial"/>
          <w:bCs/>
        </w:rPr>
        <w:t>heissen</w:t>
      </w:r>
      <w:proofErr w:type="spellEnd"/>
      <w:r w:rsidRPr="007836CB">
        <w:rPr>
          <w:rFonts w:ascii="Arial" w:hAnsi="Arial" w:cs="Arial"/>
          <w:bCs/>
        </w:rPr>
        <w:t xml:space="preserve"> deshalb Menschenrechte und sie bedeuten vorab, dass der Mensch das Recht hat, Rechte zu haben (Hannah Arendt).</w:t>
      </w:r>
      <w:r w:rsidR="00B75EEB">
        <w:rPr>
          <w:rFonts w:ascii="Arial" w:hAnsi="Arial" w:cs="Arial"/>
          <w:bCs/>
        </w:rPr>
        <w:t xml:space="preserve"> Eine Volksgemeinschaft von </w:t>
      </w:r>
      <w:r w:rsidRPr="007836CB">
        <w:rPr>
          <w:rFonts w:ascii="Arial" w:hAnsi="Arial" w:cs="Arial"/>
          <w:bCs/>
        </w:rPr>
        <w:t xml:space="preserve">Menschen </w:t>
      </w:r>
      <w:r w:rsidR="007A2E98">
        <w:rPr>
          <w:rFonts w:ascii="Arial" w:hAnsi="Arial" w:cs="Arial"/>
          <w:bCs/>
        </w:rPr>
        <w:t xml:space="preserve">mit allen dieser gleichen Würde </w:t>
      </w:r>
      <w:r w:rsidRPr="007836CB">
        <w:rPr>
          <w:rFonts w:ascii="Arial" w:hAnsi="Arial" w:cs="Arial"/>
          <w:bCs/>
        </w:rPr>
        <w:t>kann ihre Herrschaft nur</w:t>
      </w:r>
      <w:r w:rsidR="007A2E98">
        <w:rPr>
          <w:rFonts w:ascii="Arial" w:hAnsi="Arial" w:cs="Arial"/>
          <w:bCs/>
        </w:rPr>
        <w:t xml:space="preserve"> als ein die </w:t>
      </w:r>
      <w:r w:rsidRPr="007836CB">
        <w:rPr>
          <w:rFonts w:ascii="Arial" w:hAnsi="Arial" w:cs="Arial"/>
          <w:bCs/>
        </w:rPr>
        <w:t xml:space="preserve">Menschenrechte garantierender Rechtsstaat ausüben. Widrigenfalls würde die Natur einer </w:t>
      </w:r>
      <w:r w:rsidRPr="007836CB">
        <w:rPr>
          <w:rFonts w:ascii="Arial" w:hAnsi="Arial" w:cs="Arial"/>
          <w:bCs/>
          <w:i/>
        </w:rPr>
        <w:t>Volks</w:t>
      </w:r>
      <w:r w:rsidRPr="007836CB">
        <w:rPr>
          <w:rFonts w:ascii="Arial" w:hAnsi="Arial" w:cs="Arial"/>
          <w:bCs/>
        </w:rPr>
        <w:t>herrschaft als Herrschaft von Menschen mit gleichen Rechten über Menschen mit ebenfalls den gleichen Rechten verfälscht</w:t>
      </w:r>
      <w:r w:rsidR="00D866A2">
        <w:rPr>
          <w:rFonts w:ascii="Arial" w:hAnsi="Arial" w:cs="Arial"/>
          <w:bCs/>
        </w:rPr>
        <w:t>. Eine e</w:t>
      </w:r>
      <w:r w:rsidR="00DE7051">
        <w:rPr>
          <w:rFonts w:ascii="Arial" w:hAnsi="Arial" w:cs="Arial"/>
          <w:bCs/>
        </w:rPr>
        <w:t>chte Demokratie</w:t>
      </w:r>
      <w:r w:rsidR="00D866A2">
        <w:rPr>
          <w:rFonts w:ascii="Arial" w:hAnsi="Arial" w:cs="Arial"/>
          <w:bCs/>
        </w:rPr>
        <w:t xml:space="preserve"> ist allein gewahrt, wenn </w:t>
      </w:r>
      <w:r w:rsidR="00DE7051">
        <w:rPr>
          <w:rFonts w:ascii="Arial" w:hAnsi="Arial" w:cs="Arial"/>
          <w:bCs/>
        </w:rPr>
        <w:t>Demokratie und</w:t>
      </w:r>
      <w:r w:rsidR="00D866A2">
        <w:rPr>
          <w:rFonts w:ascii="Arial" w:hAnsi="Arial" w:cs="Arial"/>
          <w:bCs/>
        </w:rPr>
        <w:t xml:space="preserve"> Menschenrechte sowie Rechtsstaat </w:t>
      </w:r>
      <w:r w:rsidR="00DE7051">
        <w:rPr>
          <w:rFonts w:ascii="Arial" w:hAnsi="Arial" w:cs="Arial"/>
          <w:bCs/>
        </w:rPr>
        <w:t>untrennbar</w:t>
      </w:r>
      <w:r w:rsidR="00D866A2">
        <w:rPr>
          <w:rFonts w:ascii="Arial" w:hAnsi="Arial" w:cs="Arial"/>
          <w:bCs/>
        </w:rPr>
        <w:t xml:space="preserve"> sind.</w:t>
      </w:r>
    </w:p>
    <w:p w14:paraId="1B05CD7B" w14:textId="77777777" w:rsidR="007836CB" w:rsidRPr="007836CB" w:rsidRDefault="007836CB" w:rsidP="007836CB">
      <w:pPr>
        <w:widowControl w:val="0"/>
        <w:autoSpaceDE w:val="0"/>
        <w:autoSpaceDN w:val="0"/>
        <w:adjustRightInd w:val="0"/>
        <w:rPr>
          <w:rFonts w:ascii="Arial" w:hAnsi="Arial" w:cs="Arial"/>
          <w:bCs/>
          <w:lang w:val="de-CH"/>
        </w:rPr>
      </w:pPr>
    </w:p>
    <w:p w14:paraId="48A8B529" w14:textId="62003AD4" w:rsidR="007836CB" w:rsidRPr="007836CB" w:rsidRDefault="007836CB" w:rsidP="007836CB">
      <w:pPr>
        <w:widowControl w:val="0"/>
        <w:autoSpaceDE w:val="0"/>
        <w:autoSpaceDN w:val="0"/>
        <w:adjustRightInd w:val="0"/>
        <w:rPr>
          <w:rFonts w:ascii="Arial" w:hAnsi="Arial" w:cs="Arial"/>
          <w:bCs/>
        </w:rPr>
      </w:pPr>
      <w:r w:rsidRPr="007836CB">
        <w:rPr>
          <w:rFonts w:ascii="Arial" w:hAnsi="Arial" w:cs="Arial"/>
          <w:bCs/>
          <w:lang w:val="de-CH"/>
        </w:rPr>
        <w:t>Jürgen Haberm</w:t>
      </w:r>
      <w:r w:rsidR="007A2E98">
        <w:rPr>
          <w:rFonts w:ascii="Arial" w:hAnsi="Arial" w:cs="Arial"/>
          <w:bCs/>
          <w:lang w:val="de-CH"/>
        </w:rPr>
        <w:t>as zeigt in seiner politischen Diskurst</w:t>
      </w:r>
      <w:r w:rsidRPr="007836CB">
        <w:rPr>
          <w:rFonts w:ascii="Arial" w:hAnsi="Arial" w:cs="Arial"/>
          <w:bCs/>
          <w:lang w:val="de-CH"/>
        </w:rPr>
        <w:t>heorie</w:t>
      </w:r>
      <w:r w:rsidRPr="007836CB">
        <w:rPr>
          <w:rFonts w:ascii="Arial" w:hAnsi="Arial" w:cs="Arial"/>
          <w:bCs/>
          <w:vertAlign w:val="superscript"/>
          <w:lang w:val="de-CH"/>
        </w:rPr>
        <w:footnoteReference w:id="21"/>
      </w:r>
      <w:r w:rsidRPr="007836CB">
        <w:rPr>
          <w:rFonts w:ascii="Arial" w:hAnsi="Arial" w:cs="Arial"/>
          <w:bCs/>
          <w:lang w:val="de-CH"/>
        </w:rPr>
        <w:t xml:space="preserve"> auf, </w:t>
      </w:r>
      <w:r w:rsidRPr="007836CB">
        <w:rPr>
          <w:rFonts w:ascii="Arial" w:hAnsi="Arial" w:cs="Arial"/>
          <w:bCs/>
        </w:rPr>
        <w:t xml:space="preserve">dass die Prinzipien von Menschenrechten und </w:t>
      </w:r>
      <w:proofErr w:type="spellStart"/>
      <w:r w:rsidRPr="007836CB">
        <w:rPr>
          <w:rFonts w:ascii="Arial" w:hAnsi="Arial" w:cs="Arial"/>
          <w:bCs/>
        </w:rPr>
        <w:t>Volkssouveränität</w:t>
      </w:r>
      <w:proofErr w:type="spellEnd"/>
      <w:r w:rsidRPr="007836CB">
        <w:rPr>
          <w:rFonts w:ascii="Arial" w:hAnsi="Arial" w:cs="Arial"/>
          <w:bCs/>
        </w:rPr>
        <w:t xml:space="preserve">, Rechtsstaatlichkeit und Demokratie nicht im Widerspruch zueinander stehen, vielmehr in ihrer Realisierung gegenseitig aufeinander angewiesen sind. Nur der demokratische Prozess gewährleistet nach Habermas, dass die Gesellschaftsbürger </w:t>
      </w:r>
      <w:proofErr w:type="spellStart"/>
      <w:r w:rsidRPr="007836CB">
        <w:rPr>
          <w:rFonts w:ascii="Arial" w:hAnsi="Arial" w:cs="Arial"/>
          <w:bCs/>
        </w:rPr>
        <w:t>gleichmässig</w:t>
      </w:r>
      <w:proofErr w:type="spellEnd"/>
      <w:r w:rsidRPr="007836CB">
        <w:rPr>
          <w:rFonts w:ascii="Arial" w:hAnsi="Arial" w:cs="Arial"/>
          <w:bCs/>
        </w:rPr>
        <w:t xml:space="preserve"> in den Genuss gleicher subjektiver Freiheiten gelangen. Umgekehrt könne nur eine gesicherte Privatautonomie der Gesellschaftsbürger die Staatsbürger instand setzen, von ihrer politischen Autonomie den richtigen Gebrauch zu machen. „Die </w:t>
      </w:r>
      <w:proofErr w:type="spellStart"/>
      <w:r w:rsidRPr="007836CB">
        <w:rPr>
          <w:rFonts w:ascii="Arial" w:hAnsi="Arial" w:cs="Arial"/>
          <w:bCs/>
        </w:rPr>
        <w:t>Interdependez</w:t>
      </w:r>
      <w:proofErr w:type="spellEnd"/>
      <w:r w:rsidRPr="007836CB">
        <w:rPr>
          <w:rFonts w:ascii="Arial" w:hAnsi="Arial" w:cs="Arial"/>
          <w:bCs/>
        </w:rPr>
        <w:t xml:space="preserve"> von Rechtsstaatlichkeit und Demokratie kommt in diesem Ergänzungsverhältnis von privater und staatbürgerlicher Autonomie zum Vorschein: Jede von beiden zehrt von Ressourcen, die sie füreinander darstellen“, so Habermas</w:t>
      </w:r>
      <w:r w:rsidRPr="007836CB">
        <w:rPr>
          <w:rFonts w:ascii="Arial" w:hAnsi="Arial" w:cs="Arial"/>
          <w:bCs/>
          <w:vertAlign w:val="superscript"/>
        </w:rPr>
        <w:footnoteReference w:id="22"/>
      </w:r>
      <w:r w:rsidRPr="007836CB">
        <w:rPr>
          <w:rFonts w:ascii="Arial" w:hAnsi="Arial" w:cs="Arial"/>
          <w:bCs/>
        </w:rPr>
        <w:t>. Richtig verstandene Volkssouveränität ist – wenn seine viel weitläufigeren rechtsphilosophischen Reflexi</w:t>
      </w:r>
      <w:r w:rsidR="007A2E98">
        <w:rPr>
          <w:rFonts w:ascii="Arial" w:hAnsi="Arial" w:cs="Arial"/>
          <w:bCs/>
        </w:rPr>
        <w:t>onen, als sie hier angeführt we</w:t>
      </w:r>
      <w:r w:rsidRPr="007836CB">
        <w:rPr>
          <w:rFonts w:ascii="Arial" w:hAnsi="Arial" w:cs="Arial"/>
          <w:bCs/>
        </w:rPr>
        <w:t>r</w:t>
      </w:r>
      <w:r w:rsidR="007A2E98">
        <w:rPr>
          <w:rFonts w:ascii="Arial" w:hAnsi="Arial" w:cs="Arial"/>
          <w:bCs/>
        </w:rPr>
        <w:t>den können,  so auf einen</w:t>
      </w:r>
      <w:r w:rsidRPr="007836CB">
        <w:rPr>
          <w:rFonts w:ascii="Arial" w:hAnsi="Arial" w:cs="Arial"/>
          <w:bCs/>
        </w:rPr>
        <w:t xml:space="preserve"> Punkt gebracht werden dürfen - nur gegeben, wenn Menschen mit gleichen Teilnahmerechten sich eine Ordnung geben, die auch gleiche Teilnahmerechte für alle </w:t>
      </w:r>
      <w:r w:rsidR="007A2E98">
        <w:rPr>
          <w:rFonts w:ascii="Arial" w:hAnsi="Arial" w:cs="Arial"/>
          <w:bCs/>
        </w:rPr>
        <w:t xml:space="preserve">schaffen will und </w:t>
      </w:r>
      <w:r w:rsidRPr="007836CB">
        <w:rPr>
          <w:rFonts w:ascii="Arial" w:hAnsi="Arial" w:cs="Arial"/>
          <w:bCs/>
        </w:rPr>
        <w:t>schafft. Volkssouveränität und die Menschenrechte - die von grundlegendster Bedeutung für diese gleiche</w:t>
      </w:r>
      <w:r w:rsidR="00A9105D">
        <w:rPr>
          <w:rFonts w:ascii="Arial" w:hAnsi="Arial" w:cs="Arial"/>
          <w:bCs/>
        </w:rPr>
        <w:t>n Teilnahmerechte sind - sind auf diese Weise</w:t>
      </w:r>
      <w:r w:rsidRPr="007836CB">
        <w:rPr>
          <w:rFonts w:ascii="Arial" w:hAnsi="Arial" w:cs="Arial"/>
          <w:bCs/>
        </w:rPr>
        <w:t xml:space="preserve"> im demokratischen Rechtsstaat untrennbar miteinander verbunden</w:t>
      </w:r>
      <w:r w:rsidRPr="007836CB">
        <w:rPr>
          <w:rFonts w:ascii="Arial" w:hAnsi="Arial" w:cs="Arial"/>
          <w:bCs/>
          <w:vertAlign w:val="superscript"/>
        </w:rPr>
        <w:footnoteReference w:id="23"/>
      </w:r>
      <w:r w:rsidRPr="007836CB">
        <w:rPr>
          <w:rFonts w:ascii="Arial" w:hAnsi="Arial" w:cs="Arial"/>
          <w:bCs/>
        </w:rPr>
        <w:t xml:space="preserve">. </w:t>
      </w:r>
    </w:p>
    <w:p w14:paraId="0B3AC432" w14:textId="77777777" w:rsidR="007836CB" w:rsidRPr="007836CB" w:rsidRDefault="007836CB" w:rsidP="007836CB">
      <w:pPr>
        <w:widowControl w:val="0"/>
        <w:autoSpaceDE w:val="0"/>
        <w:autoSpaceDN w:val="0"/>
        <w:adjustRightInd w:val="0"/>
        <w:rPr>
          <w:rFonts w:ascii="Arial" w:hAnsi="Arial" w:cs="Arial"/>
          <w:bCs/>
        </w:rPr>
      </w:pPr>
    </w:p>
    <w:p w14:paraId="35B036DD" w14:textId="474734B8" w:rsidR="007A2E98" w:rsidRDefault="007836CB" w:rsidP="007836CB">
      <w:pPr>
        <w:widowControl w:val="0"/>
        <w:autoSpaceDE w:val="0"/>
        <w:autoSpaceDN w:val="0"/>
        <w:adjustRightInd w:val="0"/>
        <w:rPr>
          <w:rFonts w:ascii="Arial" w:hAnsi="Arial" w:cs="Arial"/>
          <w:bCs/>
          <w:lang w:val="de-CH"/>
        </w:rPr>
      </w:pPr>
      <w:r w:rsidRPr="007836CB">
        <w:rPr>
          <w:rFonts w:ascii="Arial" w:hAnsi="Arial" w:cs="Arial"/>
          <w:bCs/>
          <w:lang w:val="de-CH"/>
        </w:rPr>
        <w:t>Der Unterschied zwischen Demokratie und Diktatur liegt nicht nur darin, dass in der Demokratie die Gesamtheit des Volkes die Macht ausübt und nicht allein ein Einzelner oder eine kleine Gruppe. Entscheidend für richtig verstanden</w:t>
      </w:r>
      <w:r w:rsidR="007A2E98">
        <w:rPr>
          <w:rFonts w:ascii="Arial" w:hAnsi="Arial" w:cs="Arial"/>
          <w:bCs/>
          <w:lang w:val="de-CH"/>
        </w:rPr>
        <w:t xml:space="preserve">e Demokratie </w:t>
      </w:r>
      <w:r w:rsidR="007A2E98">
        <w:rPr>
          <w:rFonts w:ascii="Arial" w:hAnsi="Arial" w:cs="Arial"/>
          <w:bCs/>
          <w:lang w:val="de-CH"/>
        </w:rPr>
        <w:lastRenderedPageBreak/>
        <w:t xml:space="preserve">ist, dass sich eine </w:t>
      </w:r>
      <w:r w:rsidRPr="007836CB">
        <w:rPr>
          <w:rFonts w:ascii="Arial" w:hAnsi="Arial" w:cs="Arial"/>
          <w:bCs/>
          <w:lang w:val="de-CH"/>
        </w:rPr>
        <w:t>Volk</w:t>
      </w:r>
      <w:r w:rsidR="007A2E98">
        <w:rPr>
          <w:rFonts w:ascii="Arial" w:hAnsi="Arial" w:cs="Arial"/>
          <w:bCs/>
          <w:lang w:val="de-CH"/>
        </w:rPr>
        <w:t>smehrheit</w:t>
      </w:r>
      <w:r w:rsidRPr="007836CB">
        <w:rPr>
          <w:rFonts w:ascii="Arial" w:hAnsi="Arial" w:cs="Arial"/>
          <w:bCs/>
          <w:lang w:val="de-CH"/>
        </w:rPr>
        <w:t xml:space="preserve"> in der Demokratie im Gegensatz zum Diktator keine u</w:t>
      </w:r>
      <w:r w:rsidR="004E70D7">
        <w:rPr>
          <w:rFonts w:ascii="Arial" w:hAnsi="Arial" w:cs="Arial"/>
          <w:bCs/>
          <w:lang w:val="de-CH"/>
        </w:rPr>
        <w:t>nbeschränkte Macht anmasst. Sonst</w:t>
      </w:r>
      <w:r w:rsidRPr="007836CB">
        <w:rPr>
          <w:rFonts w:ascii="Arial" w:hAnsi="Arial" w:cs="Arial"/>
          <w:bCs/>
          <w:lang w:val="de-CH"/>
        </w:rPr>
        <w:t xml:space="preserve"> fielen Volkssouveränität und Menschenrechte und Rechtsstaatlichkeit und Demokratie in unzulä</w:t>
      </w:r>
      <w:r w:rsidR="00A9105D">
        <w:rPr>
          <w:rFonts w:ascii="Arial" w:hAnsi="Arial" w:cs="Arial"/>
          <w:bCs/>
          <w:lang w:val="de-CH"/>
        </w:rPr>
        <w:t xml:space="preserve">ssiger Weise auseinander. </w:t>
      </w:r>
    </w:p>
    <w:p w14:paraId="57543538" w14:textId="77777777" w:rsidR="007A2E98" w:rsidRDefault="007A2E98" w:rsidP="007836CB">
      <w:pPr>
        <w:widowControl w:val="0"/>
        <w:autoSpaceDE w:val="0"/>
        <w:autoSpaceDN w:val="0"/>
        <w:adjustRightInd w:val="0"/>
        <w:rPr>
          <w:rFonts w:ascii="Arial" w:hAnsi="Arial" w:cs="Arial"/>
          <w:bCs/>
          <w:lang w:val="de-CH"/>
        </w:rPr>
      </w:pPr>
    </w:p>
    <w:p w14:paraId="6885694F" w14:textId="58116640" w:rsidR="007836CB" w:rsidRPr="007836CB" w:rsidRDefault="00A9105D" w:rsidP="007836CB">
      <w:pPr>
        <w:widowControl w:val="0"/>
        <w:autoSpaceDE w:val="0"/>
        <w:autoSpaceDN w:val="0"/>
        <w:adjustRightInd w:val="0"/>
        <w:rPr>
          <w:rFonts w:ascii="Arial" w:hAnsi="Arial" w:cs="Arial"/>
          <w:bCs/>
        </w:rPr>
      </w:pPr>
      <w:r>
        <w:rPr>
          <w:rFonts w:ascii="Arial" w:hAnsi="Arial" w:cs="Arial"/>
          <w:bCs/>
          <w:lang w:val="de-CH"/>
        </w:rPr>
        <w:t>U</w:t>
      </w:r>
      <w:r w:rsidR="007836CB" w:rsidRPr="007836CB">
        <w:rPr>
          <w:rFonts w:ascii="Arial" w:hAnsi="Arial" w:cs="Arial"/>
          <w:bCs/>
          <w:lang w:val="de-CH"/>
        </w:rPr>
        <w:t xml:space="preserve">nsere Bundesverfassung kennt denn </w:t>
      </w:r>
      <w:r>
        <w:rPr>
          <w:rFonts w:ascii="Arial" w:hAnsi="Arial" w:cs="Arial"/>
          <w:bCs/>
          <w:lang w:val="de-CH"/>
        </w:rPr>
        <w:t xml:space="preserve">auch </w:t>
      </w:r>
      <w:r w:rsidR="007836CB" w:rsidRPr="007836CB">
        <w:rPr>
          <w:rFonts w:ascii="Arial" w:hAnsi="Arial" w:cs="Arial"/>
          <w:bCs/>
          <w:lang w:val="de-CH"/>
        </w:rPr>
        <w:t xml:space="preserve">keine Bestimmung, die eine unbeschränkte Machtausübung des Volkes festlegen würde. In mehreren Kantonsverfassungen findet sich zwar die richtige Bestimmung: „Die Staatsgewalt beruht auf dem Volk“. Diese darf jedoch nicht missverstanden werden. Art. 5 Abs. 1 BV, der lautet: </w:t>
      </w:r>
      <w:r w:rsidR="007836CB" w:rsidRPr="007836CB">
        <w:rPr>
          <w:rFonts w:ascii="Arial" w:hAnsi="Arial" w:cs="Arial"/>
          <w:bCs/>
          <w:iCs/>
          <w:lang w:val="de-CH"/>
        </w:rPr>
        <w:t>„Grundlage und Schranke staatlichen Handelns ist das Recht“</w:t>
      </w:r>
      <w:r w:rsidR="007836CB" w:rsidRPr="007836CB">
        <w:rPr>
          <w:rFonts w:ascii="Arial" w:hAnsi="Arial" w:cs="Arial"/>
          <w:bCs/>
          <w:lang w:val="de-CH"/>
        </w:rPr>
        <w:t xml:space="preserve">, stellt klar, dass auch die Macht des Volkes </w:t>
      </w:r>
      <w:r w:rsidR="00FE7655">
        <w:rPr>
          <w:rFonts w:ascii="Arial" w:hAnsi="Arial" w:cs="Arial"/>
          <w:bCs/>
          <w:lang w:val="de-CH"/>
        </w:rPr>
        <w:t xml:space="preserve">durch das Recht </w:t>
      </w:r>
      <w:r w:rsidR="007836CB" w:rsidRPr="007836CB">
        <w:rPr>
          <w:rFonts w:ascii="Arial" w:hAnsi="Arial" w:cs="Arial"/>
          <w:bCs/>
          <w:lang w:val="de-CH"/>
        </w:rPr>
        <w:t xml:space="preserve">beschränkt ist. Alle Staatsgewalt beruht </w:t>
      </w:r>
      <w:r w:rsidR="00FE7655">
        <w:rPr>
          <w:rFonts w:ascii="Arial" w:hAnsi="Arial" w:cs="Arial"/>
          <w:bCs/>
          <w:lang w:val="de-CH"/>
        </w:rPr>
        <w:t>auf dem Willen des Volkes, aber als einer Gemeinschaft von Menschen</w:t>
      </w:r>
      <w:r w:rsidR="00800390">
        <w:rPr>
          <w:rFonts w:ascii="Arial" w:hAnsi="Arial" w:cs="Arial"/>
          <w:bCs/>
          <w:lang w:val="de-CH"/>
        </w:rPr>
        <w:t>, die alle Anspruch auf die gleichen Grundrechte haben</w:t>
      </w:r>
      <w:r w:rsidR="00FE7655">
        <w:rPr>
          <w:rFonts w:ascii="Arial" w:hAnsi="Arial" w:cs="Arial"/>
          <w:bCs/>
          <w:lang w:val="de-CH"/>
        </w:rPr>
        <w:t xml:space="preserve">. Damit ist </w:t>
      </w:r>
      <w:r w:rsidR="007836CB" w:rsidRPr="007836CB">
        <w:rPr>
          <w:rFonts w:ascii="Arial" w:hAnsi="Arial" w:cs="Arial"/>
          <w:bCs/>
          <w:lang w:val="de-CH"/>
        </w:rPr>
        <w:t xml:space="preserve">nicht jedes staatliche Handeln </w:t>
      </w:r>
      <w:r w:rsidR="00FE7655">
        <w:rPr>
          <w:rFonts w:ascii="Arial" w:hAnsi="Arial" w:cs="Arial"/>
          <w:bCs/>
          <w:lang w:val="de-CH"/>
        </w:rPr>
        <w:t xml:space="preserve">im Namen des Volkes </w:t>
      </w:r>
      <w:r w:rsidR="007836CB" w:rsidRPr="007836CB">
        <w:rPr>
          <w:rFonts w:ascii="Arial" w:hAnsi="Arial" w:cs="Arial"/>
          <w:bCs/>
          <w:lang w:val="de-CH"/>
        </w:rPr>
        <w:t>auch legitim, vielmehr ist das Recht eine unbedingte Schranke. In Art. 5 Abs. 4 BV ist zudem festgehalten, dass Bund und Kantone das Völkerrecht zu beachten haben. Das ist ein Bekenntnis zu völkerrechtlicher Vertragstreue und damit zu den</w:t>
      </w:r>
      <w:r w:rsidR="007836CB" w:rsidRPr="007836CB">
        <w:rPr>
          <w:rFonts w:ascii="Arial" w:hAnsi="Arial" w:cs="Arial"/>
          <w:bCs/>
          <w:iCs/>
          <w:lang w:val="de-CH"/>
        </w:rPr>
        <w:t xml:space="preserve"> Menschenrechten,</w:t>
      </w:r>
      <w:r w:rsidR="007836CB" w:rsidRPr="007836CB">
        <w:rPr>
          <w:rFonts w:ascii="Arial" w:hAnsi="Arial" w:cs="Arial"/>
          <w:bCs/>
          <w:lang w:val="de-CH"/>
        </w:rPr>
        <w:t xml:space="preserve"> die in den demokratisch ratifizierten völkerrechtlichen Verträgen garantiert sind. Das Recht ist damit nicht nur selbs</w:t>
      </w:r>
      <w:r>
        <w:rPr>
          <w:rFonts w:ascii="Arial" w:hAnsi="Arial" w:cs="Arial"/>
          <w:bCs/>
          <w:lang w:val="de-CH"/>
        </w:rPr>
        <w:t>t</w:t>
      </w:r>
      <w:r w:rsidR="007836CB" w:rsidRPr="007836CB">
        <w:rPr>
          <w:rFonts w:ascii="Arial" w:hAnsi="Arial" w:cs="Arial"/>
          <w:bCs/>
          <w:lang w:val="de-CH"/>
        </w:rPr>
        <w:t>verständlich nur legitim, wenn es in der Demokratie gründet, ebenso zwingend ist auch die Demokratie nur legitim, wen</w:t>
      </w:r>
      <w:r>
        <w:rPr>
          <w:rFonts w:ascii="Arial" w:hAnsi="Arial" w:cs="Arial"/>
          <w:bCs/>
          <w:lang w:val="de-CH"/>
        </w:rPr>
        <w:t>n sie im Recht und vorab in den</w:t>
      </w:r>
      <w:r w:rsidR="007836CB" w:rsidRPr="007836CB">
        <w:rPr>
          <w:rFonts w:ascii="Arial" w:hAnsi="Arial" w:cs="Arial"/>
          <w:bCs/>
          <w:lang w:val="de-CH"/>
        </w:rPr>
        <w:t xml:space="preserve"> Menschenrechte</w:t>
      </w:r>
      <w:r>
        <w:rPr>
          <w:rFonts w:ascii="Arial" w:hAnsi="Arial" w:cs="Arial"/>
          <w:bCs/>
          <w:lang w:val="de-CH"/>
        </w:rPr>
        <w:t>n</w:t>
      </w:r>
      <w:r w:rsidR="007836CB" w:rsidRPr="007836CB">
        <w:rPr>
          <w:rFonts w:ascii="Arial" w:hAnsi="Arial" w:cs="Arial"/>
          <w:bCs/>
          <w:lang w:val="de-CH"/>
        </w:rPr>
        <w:t xml:space="preserve"> gründet. Demokratie und Recht wie Volkssouveränität und Menschenrechte sind so auch </w:t>
      </w:r>
      <w:r w:rsidR="007836CB" w:rsidRPr="007836CB">
        <w:rPr>
          <w:rFonts w:ascii="Arial" w:hAnsi="Arial" w:cs="Arial"/>
          <w:bCs/>
        </w:rPr>
        <w:t>positivrechtlich gesehen nicht trennbar.</w:t>
      </w:r>
    </w:p>
    <w:p w14:paraId="6125EFE9" w14:textId="77777777" w:rsidR="007836CB" w:rsidRDefault="007836CB" w:rsidP="007836CB">
      <w:pPr>
        <w:widowControl w:val="0"/>
        <w:autoSpaceDE w:val="0"/>
        <w:autoSpaceDN w:val="0"/>
        <w:adjustRightInd w:val="0"/>
        <w:rPr>
          <w:rFonts w:ascii="Arial" w:hAnsi="Arial" w:cs="Arial"/>
          <w:bCs/>
        </w:rPr>
      </w:pPr>
    </w:p>
    <w:p w14:paraId="25B67FCC" w14:textId="41DB1EBB" w:rsidR="007836CB" w:rsidRPr="00EC2366" w:rsidRDefault="00D866A2" w:rsidP="007836CB">
      <w:pPr>
        <w:widowControl w:val="0"/>
        <w:autoSpaceDE w:val="0"/>
        <w:autoSpaceDN w:val="0"/>
        <w:adjustRightInd w:val="0"/>
        <w:rPr>
          <w:rFonts w:ascii="Arial" w:hAnsi="Arial" w:cs="Arial"/>
          <w:b/>
          <w:bCs/>
        </w:rPr>
      </w:pPr>
      <w:r>
        <w:rPr>
          <w:rFonts w:ascii="Arial" w:hAnsi="Arial" w:cs="Arial"/>
          <w:b/>
          <w:bCs/>
        </w:rPr>
        <w:t xml:space="preserve">4.2. Ungültigkeitsgründe als </w:t>
      </w:r>
      <w:r w:rsidR="00A9105D">
        <w:rPr>
          <w:rFonts w:ascii="Arial" w:hAnsi="Arial" w:cs="Arial"/>
          <w:b/>
          <w:bCs/>
        </w:rPr>
        <w:t>der Demokratie inhärente Selbstbeschränkung</w:t>
      </w:r>
      <w:r>
        <w:rPr>
          <w:rFonts w:ascii="Arial" w:hAnsi="Arial" w:cs="Arial"/>
          <w:b/>
          <w:bCs/>
        </w:rPr>
        <w:t xml:space="preserve"> legitim und notwendig</w:t>
      </w:r>
    </w:p>
    <w:p w14:paraId="3B3FCBA1" w14:textId="63FEACCD" w:rsidR="007836CB" w:rsidRDefault="00F638A9" w:rsidP="007836CB">
      <w:pPr>
        <w:widowControl w:val="0"/>
        <w:autoSpaceDE w:val="0"/>
        <w:autoSpaceDN w:val="0"/>
        <w:adjustRightInd w:val="0"/>
        <w:rPr>
          <w:rFonts w:ascii="Arial" w:hAnsi="Arial" w:cs="Arial"/>
          <w:bCs/>
        </w:rPr>
      </w:pPr>
      <w:r>
        <w:rPr>
          <w:rFonts w:ascii="Arial" w:hAnsi="Arial" w:cs="Arial"/>
          <w:bCs/>
        </w:rPr>
        <w:t>J</w:t>
      </w:r>
      <w:r w:rsidR="007836CB" w:rsidRPr="007836CB">
        <w:rPr>
          <w:rFonts w:ascii="Arial" w:hAnsi="Arial" w:cs="Arial"/>
          <w:bCs/>
        </w:rPr>
        <w:t xml:space="preserve">edenfalls bei Volksinitiativen auf Teilrevision (sic!) der Bundesverfassung </w:t>
      </w:r>
      <w:r>
        <w:rPr>
          <w:rFonts w:ascii="Arial" w:hAnsi="Arial" w:cs="Arial"/>
          <w:bCs/>
        </w:rPr>
        <w:t>ist eine die Menschenrechte und die unabdingbar</w:t>
      </w:r>
      <w:r w:rsidR="00176E9D">
        <w:rPr>
          <w:rFonts w:ascii="Arial" w:hAnsi="Arial" w:cs="Arial"/>
          <w:bCs/>
        </w:rPr>
        <w:t>en Grundlagen des Rechtsstaates - wie namentlich auch die Gewaltenteilung mit einer u</w:t>
      </w:r>
      <w:r w:rsidR="00FE7655">
        <w:rPr>
          <w:rFonts w:ascii="Arial" w:hAnsi="Arial" w:cs="Arial"/>
          <w:bCs/>
        </w:rPr>
        <w:t>nabhängigen Judikative als die oberste rechtsprechende</w:t>
      </w:r>
      <w:r w:rsidR="00176E9D">
        <w:rPr>
          <w:rFonts w:ascii="Arial" w:hAnsi="Arial" w:cs="Arial"/>
          <w:bCs/>
        </w:rPr>
        <w:t xml:space="preserve"> Gewalt</w:t>
      </w:r>
      <w:r w:rsidR="00FE7655">
        <w:rPr>
          <w:rStyle w:val="Funotenzeichen"/>
          <w:rFonts w:ascii="Arial" w:hAnsi="Arial" w:cs="Arial"/>
          <w:bCs/>
        </w:rPr>
        <w:footnoteReference w:id="24"/>
      </w:r>
      <w:r w:rsidR="00176E9D">
        <w:rPr>
          <w:rFonts w:ascii="Arial" w:hAnsi="Arial" w:cs="Arial"/>
          <w:bCs/>
        </w:rPr>
        <w:t xml:space="preserve"> - </w:t>
      </w:r>
      <w:r>
        <w:rPr>
          <w:rFonts w:ascii="Arial" w:hAnsi="Arial" w:cs="Arial"/>
          <w:bCs/>
        </w:rPr>
        <w:t>wahrende inha</w:t>
      </w:r>
      <w:r w:rsidR="00465D69">
        <w:rPr>
          <w:rFonts w:ascii="Arial" w:hAnsi="Arial" w:cs="Arial"/>
          <w:bCs/>
        </w:rPr>
        <w:t>ltliche Schranken nicht nur legitim</w:t>
      </w:r>
      <w:r w:rsidR="007836CB" w:rsidRPr="007836CB">
        <w:rPr>
          <w:rFonts w:ascii="Arial" w:hAnsi="Arial" w:cs="Arial"/>
          <w:bCs/>
        </w:rPr>
        <w:t xml:space="preserve">, </w:t>
      </w:r>
      <w:r w:rsidR="00465D69">
        <w:rPr>
          <w:rFonts w:ascii="Arial" w:hAnsi="Arial" w:cs="Arial"/>
          <w:bCs/>
        </w:rPr>
        <w:t xml:space="preserve">sondern auch </w:t>
      </w:r>
      <w:r>
        <w:rPr>
          <w:rFonts w:ascii="Arial" w:hAnsi="Arial" w:cs="Arial"/>
          <w:bCs/>
        </w:rPr>
        <w:t>notwendig</w:t>
      </w:r>
      <w:r w:rsidR="007836CB" w:rsidRPr="007836CB">
        <w:rPr>
          <w:rFonts w:ascii="Arial" w:hAnsi="Arial" w:cs="Arial"/>
          <w:bCs/>
        </w:rPr>
        <w:t xml:space="preserve">. </w:t>
      </w:r>
      <w:r>
        <w:rPr>
          <w:rFonts w:ascii="Arial" w:hAnsi="Arial" w:cs="Arial"/>
          <w:bCs/>
        </w:rPr>
        <w:t xml:space="preserve">Sie ist </w:t>
      </w:r>
      <w:r w:rsidR="007A03AD">
        <w:rPr>
          <w:rFonts w:ascii="Arial" w:hAnsi="Arial" w:cs="Arial"/>
          <w:bCs/>
        </w:rPr>
        <w:t>legitim</w:t>
      </w:r>
      <w:r>
        <w:rPr>
          <w:rFonts w:ascii="Arial" w:hAnsi="Arial" w:cs="Arial"/>
          <w:bCs/>
        </w:rPr>
        <w:t xml:space="preserve">, weil es sich, wie dargelegt, richtig betrachtet um eine der Demokratie inhärente </w:t>
      </w:r>
      <w:r w:rsidR="00465D69">
        <w:rPr>
          <w:rFonts w:ascii="Arial" w:hAnsi="Arial" w:cs="Arial"/>
          <w:bCs/>
        </w:rPr>
        <w:t xml:space="preserve">und so </w:t>
      </w:r>
      <w:r w:rsidR="007A03AD">
        <w:rPr>
          <w:rFonts w:ascii="Arial" w:hAnsi="Arial" w:cs="Arial"/>
          <w:bCs/>
        </w:rPr>
        <w:t xml:space="preserve">zu ihrer Wahrung </w:t>
      </w:r>
      <w:r w:rsidR="00465D69">
        <w:rPr>
          <w:rFonts w:ascii="Arial" w:hAnsi="Arial" w:cs="Arial"/>
          <w:bCs/>
        </w:rPr>
        <w:t xml:space="preserve">auch notwendige </w:t>
      </w:r>
      <w:r>
        <w:rPr>
          <w:rFonts w:ascii="Arial" w:hAnsi="Arial" w:cs="Arial"/>
          <w:bCs/>
        </w:rPr>
        <w:t>Selbstbeschränkung handelt.</w:t>
      </w:r>
    </w:p>
    <w:p w14:paraId="106C55F5" w14:textId="77777777" w:rsidR="00F638A9" w:rsidRPr="007836CB" w:rsidRDefault="00F638A9" w:rsidP="007836CB">
      <w:pPr>
        <w:widowControl w:val="0"/>
        <w:autoSpaceDE w:val="0"/>
        <w:autoSpaceDN w:val="0"/>
        <w:adjustRightInd w:val="0"/>
        <w:rPr>
          <w:rFonts w:ascii="Arial" w:hAnsi="Arial" w:cs="Arial"/>
          <w:bCs/>
        </w:rPr>
      </w:pPr>
    </w:p>
    <w:p w14:paraId="1973C312" w14:textId="4E673AC7" w:rsidR="007836CB" w:rsidRPr="007836CB" w:rsidRDefault="00465D69" w:rsidP="007836CB">
      <w:pPr>
        <w:widowControl w:val="0"/>
        <w:autoSpaceDE w:val="0"/>
        <w:autoSpaceDN w:val="0"/>
        <w:adjustRightInd w:val="0"/>
        <w:rPr>
          <w:rFonts w:ascii="Arial" w:hAnsi="Arial" w:cs="Arial"/>
          <w:bCs/>
        </w:rPr>
      </w:pPr>
      <w:r>
        <w:rPr>
          <w:rFonts w:ascii="Arial" w:hAnsi="Arial" w:cs="Arial"/>
          <w:bCs/>
        </w:rPr>
        <w:t>Auf die Frage, w</w:t>
      </w:r>
      <w:r w:rsidR="007836CB" w:rsidRPr="007836CB">
        <w:rPr>
          <w:rFonts w:ascii="Arial" w:hAnsi="Arial" w:cs="Arial"/>
          <w:bCs/>
        </w:rPr>
        <w:t xml:space="preserve">ie es sich damit bei einer Totalrevision der Bundesverfassung </w:t>
      </w:r>
      <w:r w:rsidR="007500F2">
        <w:rPr>
          <w:rFonts w:ascii="Arial" w:hAnsi="Arial" w:cs="Arial"/>
          <w:bCs/>
        </w:rPr>
        <w:t xml:space="preserve">– wo die Fragestellung eine andere ist, weil dort der gesamte Verfassungsbestand </w:t>
      </w:r>
      <w:r w:rsidR="007836CB" w:rsidRPr="007836CB">
        <w:rPr>
          <w:rFonts w:ascii="Arial" w:hAnsi="Arial" w:cs="Arial"/>
          <w:bCs/>
        </w:rPr>
        <w:t>grundsätzlich zur Disposition steht</w:t>
      </w:r>
      <w:r w:rsidR="007500F2">
        <w:rPr>
          <w:rFonts w:ascii="Arial" w:hAnsi="Arial" w:cs="Arial"/>
          <w:bCs/>
        </w:rPr>
        <w:t xml:space="preserve"> – kann und soll hier nicht eingegangen werden</w:t>
      </w:r>
      <w:r w:rsidR="007836CB" w:rsidRPr="007836CB">
        <w:rPr>
          <w:rFonts w:ascii="Arial" w:hAnsi="Arial" w:cs="Arial"/>
          <w:bCs/>
        </w:rPr>
        <w:t>. Dass unsere Bundesverfassung eine Totalrevision vorsieht und dafür aus guten Gründen mit einem zweistufige</w:t>
      </w:r>
      <w:r w:rsidR="007500F2">
        <w:rPr>
          <w:rFonts w:ascii="Arial" w:hAnsi="Arial" w:cs="Arial"/>
          <w:bCs/>
        </w:rPr>
        <w:t>n</w:t>
      </w:r>
      <w:r w:rsidR="007836CB" w:rsidRPr="007836CB">
        <w:rPr>
          <w:rFonts w:ascii="Arial" w:hAnsi="Arial" w:cs="Arial"/>
          <w:bCs/>
        </w:rPr>
        <w:t xml:space="preserve"> Verfahren zusätzliche Hürden aufbaut, erlaubt jedoch das Initiativrecht bei einer Teilrevision inhaltlich stärker einzuschränken, ohne das Gleichgewicht zwischen Demokratie- und Rechtsstaatprinzip in unhaltbarer Weise zuungunsten des letzteren zu verschieben. Die Grundlagen unseres demokratischen Rechtsstaates können, wenn die Grund- und Menschenrechte als eine Schranke betrachtet werden, die eine Teilrevision </w:t>
      </w:r>
      <w:proofErr w:type="spellStart"/>
      <w:r w:rsidR="007836CB" w:rsidRPr="007836CB">
        <w:rPr>
          <w:rFonts w:ascii="Arial" w:hAnsi="Arial" w:cs="Arial"/>
          <w:bCs/>
        </w:rPr>
        <w:t>ausschliesst</w:t>
      </w:r>
      <w:proofErr w:type="spellEnd"/>
      <w:r w:rsidR="007836CB" w:rsidRPr="007836CB">
        <w:rPr>
          <w:rFonts w:ascii="Arial" w:hAnsi="Arial" w:cs="Arial"/>
          <w:bCs/>
        </w:rPr>
        <w:t xml:space="preserve">, dann immer noch auf dem Wege der Totalrevision verändert werden, wenn Volk und Stände dies wollen sollten. </w:t>
      </w:r>
      <w:r w:rsidR="007500F2">
        <w:rPr>
          <w:rFonts w:ascii="Arial" w:hAnsi="Arial" w:cs="Arial"/>
          <w:bCs/>
        </w:rPr>
        <w:t xml:space="preserve">Diese müssen sich dabei hingegen dessen bewusst sein, dass </w:t>
      </w:r>
      <w:r w:rsidR="007A03AD">
        <w:rPr>
          <w:rFonts w:ascii="Arial" w:hAnsi="Arial" w:cs="Arial"/>
          <w:bCs/>
        </w:rPr>
        <w:t xml:space="preserve">die Demokratie </w:t>
      </w:r>
      <w:r w:rsidR="007500F2">
        <w:rPr>
          <w:rFonts w:ascii="Arial" w:hAnsi="Arial" w:cs="Arial"/>
          <w:bCs/>
        </w:rPr>
        <w:t xml:space="preserve">bei substanziellen Veränderungen dieser </w:t>
      </w:r>
      <w:r w:rsidR="007836CB" w:rsidRPr="007836CB">
        <w:rPr>
          <w:rFonts w:ascii="Arial" w:hAnsi="Arial" w:cs="Arial"/>
          <w:bCs/>
        </w:rPr>
        <w:t xml:space="preserve">tragenden Grundlagen </w:t>
      </w:r>
      <w:r w:rsidR="007500F2">
        <w:rPr>
          <w:rFonts w:ascii="Arial" w:hAnsi="Arial" w:cs="Arial"/>
          <w:bCs/>
        </w:rPr>
        <w:t>die De</w:t>
      </w:r>
      <w:r>
        <w:rPr>
          <w:rFonts w:ascii="Arial" w:hAnsi="Arial" w:cs="Arial"/>
          <w:bCs/>
        </w:rPr>
        <w:t>m</w:t>
      </w:r>
      <w:r w:rsidR="007500F2">
        <w:rPr>
          <w:rFonts w:ascii="Arial" w:hAnsi="Arial" w:cs="Arial"/>
          <w:bCs/>
        </w:rPr>
        <w:t>okratie abschaffen würde.</w:t>
      </w:r>
    </w:p>
    <w:p w14:paraId="090F4C61" w14:textId="77777777" w:rsidR="007836CB" w:rsidRPr="007836CB" w:rsidRDefault="007836CB" w:rsidP="007836CB">
      <w:pPr>
        <w:widowControl w:val="0"/>
        <w:autoSpaceDE w:val="0"/>
        <w:autoSpaceDN w:val="0"/>
        <w:adjustRightInd w:val="0"/>
        <w:rPr>
          <w:rFonts w:ascii="Arial" w:hAnsi="Arial" w:cs="Arial"/>
          <w:bCs/>
        </w:rPr>
      </w:pPr>
    </w:p>
    <w:p w14:paraId="2AF1D99D" w14:textId="5FC35DB7" w:rsidR="007836CB" w:rsidRPr="007836CB" w:rsidRDefault="007836CB" w:rsidP="007836CB">
      <w:pPr>
        <w:widowControl w:val="0"/>
        <w:autoSpaceDE w:val="0"/>
        <w:autoSpaceDN w:val="0"/>
        <w:adjustRightInd w:val="0"/>
        <w:rPr>
          <w:rFonts w:ascii="Arial" w:hAnsi="Arial" w:cs="Arial"/>
          <w:bCs/>
        </w:rPr>
      </w:pPr>
      <w:r w:rsidRPr="007836CB">
        <w:rPr>
          <w:rFonts w:ascii="Arial" w:hAnsi="Arial" w:cs="Arial"/>
          <w:bCs/>
        </w:rPr>
        <w:t>Das wirft die Frage der Abgrenzung zwischen Teil- und Totalrevision auf, die i</w:t>
      </w:r>
      <w:r w:rsidR="00800390">
        <w:rPr>
          <w:rFonts w:ascii="Arial" w:hAnsi="Arial" w:cs="Arial"/>
          <w:bCs/>
        </w:rPr>
        <w:t xml:space="preserve">n der </w:t>
      </w:r>
      <w:r w:rsidR="00800390">
        <w:rPr>
          <w:rFonts w:ascii="Arial" w:hAnsi="Arial" w:cs="Arial"/>
          <w:bCs/>
        </w:rPr>
        <w:lastRenderedPageBreak/>
        <w:t>Lehre</w:t>
      </w:r>
      <w:r w:rsidRPr="007836CB">
        <w:rPr>
          <w:rFonts w:ascii="Arial" w:hAnsi="Arial" w:cs="Arial"/>
          <w:bCs/>
        </w:rPr>
        <w:t xml:space="preserve"> nicht vertieft wird</w:t>
      </w:r>
      <w:r w:rsidRPr="007836CB">
        <w:rPr>
          <w:rFonts w:ascii="Arial" w:hAnsi="Arial" w:cs="Arial"/>
          <w:bCs/>
          <w:vertAlign w:val="superscript"/>
        </w:rPr>
        <w:footnoteReference w:id="25"/>
      </w:r>
      <w:r w:rsidR="00387755">
        <w:rPr>
          <w:rFonts w:ascii="Arial" w:hAnsi="Arial" w:cs="Arial"/>
          <w:bCs/>
        </w:rPr>
        <w:t xml:space="preserve">. Auch </w:t>
      </w:r>
      <w:r w:rsidR="00465D69">
        <w:rPr>
          <w:rFonts w:ascii="Arial" w:hAnsi="Arial" w:cs="Arial"/>
          <w:bCs/>
        </w:rPr>
        <w:t>dies</w:t>
      </w:r>
      <w:r w:rsidR="00387755">
        <w:rPr>
          <w:rFonts w:ascii="Arial" w:hAnsi="Arial" w:cs="Arial"/>
          <w:bCs/>
        </w:rPr>
        <w:t xml:space="preserve"> </w:t>
      </w:r>
      <w:r w:rsidRPr="007836CB">
        <w:rPr>
          <w:rFonts w:ascii="Arial" w:hAnsi="Arial" w:cs="Arial"/>
          <w:bCs/>
        </w:rPr>
        <w:t>kann</w:t>
      </w:r>
      <w:r w:rsidR="0030256C">
        <w:rPr>
          <w:rFonts w:ascii="Arial" w:hAnsi="Arial" w:cs="Arial"/>
          <w:bCs/>
        </w:rPr>
        <w:t xml:space="preserve"> und soll hier indessen nicht weiter </w:t>
      </w:r>
      <w:r w:rsidRPr="007836CB">
        <w:rPr>
          <w:rFonts w:ascii="Arial" w:hAnsi="Arial" w:cs="Arial"/>
          <w:bCs/>
        </w:rPr>
        <w:t>erörtert werden. Die Frag</w:t>
      </w:r>
      <w:r w:rsidR="00465D69">
        <w:rPr>
          <w:rFonts w:ascii="Arial" w:hAnsi="Arial" w:cs="Arial"/>
          <w:bCs/>
        </w:rPr>
        <w:t xml:space="preserve">e, wie weit eine weiter als ein eng verstandener Ungültigkeitsgrund des </w:t>
      </w:r>
      <w:r w:rsidRPr="007836CB">
        <w:rPr>
          <w:rFonts w:ascii="Arial" w:hAnsi="Arial" w:cs="Arial"/>
          <w:bCs/>
        </w:rPr>
        <w:t>zwingende</w:t>
      </w:r>
      <w:r w:rsidR="00465D69">
        <w:rPr>
          <w:rFonts w:ascii="Arial" w:hAnsi="Arial" w:cs="Arial"/>
          <w:bCs/>
        </w:rPr>
        <w:t>n</w:t>
      </w:r>
      <w:r w:rsidRPr="007836CB">
        <w:rPr>
          <w:rFonts w:ascii="Arial" w:hAnsi="Arial" w:cs="Arial"/>
          <w:bCs/>
        </w:rPr>
        <w:t xml:space="preserve"> Völkerrecht</w:t>
      </w:r>
      <w:r w:rsidR="00465D69">
        <w:rPr>
          <w:rFonts w:ascii="Arial" w:hAnsi="Arial" w:cs="Arial"/>
          <w:bCs/>
        </w:rPr>
        <w:t>s</w:t>
      </w:r>
      <w:r w:rsidRPr="007836CB">
        <w:rPr>
          <w:rFonts w:ascii="Arial" w:hAnsi="Arial" w:cs="Arial"/>
          <w:bCs/>
        </w:rPr>
        <w:t xml:space="preserve"> gehende inhaltliche Schranke für Volksinitiativen auf Teilrevision der Verfassung gehen kann und s</w:t>
      </w:r>
      <w:r w:rsidR="0030256C">
        <w:rPr>
          <w:rFonts w:ascii="Arial" w:hAnsi="Arial" w:cs="Arial"/>
          <w:bCs/>
        </w:rPr>
        <w:t>oll</w:t>
      </w:r>
      <w:r w:rsidRPr="007836CB">
        <w:rPr>
          <w:rFonts w:ascii="Arial" w:hAnsi="Arial" w:cs="Arial"/>
          <w:bCs/>
        </w:rPr>
        <w:t>, wird jedoch mi</w:t>
      </w:r>
      <w:r w:rsidR="0030256C">
        <w:rPr>
          <w:rFonts w:ascii="Arial" w:hAnsi="Arial" w:cs="Arial"/>
          <w:bCs/>
        </w:rPr>
        <w:t>t entscheidendem Gewinn vor d</w:t>
      </w:r>
      <w:r w:rsidRPr="007836CB">
        <w:rPr>
          <w:rFonts w:ascii="Arial" w:hAnsi="Arial" w:cs="Arial"/>
          <w:bCs/>
        </w:rPr>
        <w:t xml:space="preserve">em Hintergrund </w:t>
      </w:r>
      <w:r w:rsidR="0030256C">
        <w:rPr>
          <w:rFonts w:ascii="Arial" w:hAnsi="Arial" w:cs="Arial"/>
          <w:bCs/>
        </w:rPr>
        <w:t xml:space="preserve">einer immer noch bestehenden Möglichkeit einer Totalrevision </w:t>
      </w:r>
      <w:r w:rsidRPr="007836CB">
        <w:rPr>
          <w:rFonts w:ascii="Arial" w:hAnsi="Arial" w:cs="Arial"/>
          <w:bCs/>
        </w:rPr>
        <w:t>betracht</w:t>
      </w:r>
      <w:r w:rsidR="0030256C">
        <w:rPr>
          <w:rFonts w:ascii="Arial" w:hAnsi="Arial" w:cs="Arial"/>
          <w:bCs/>
        </w:rPr>
        <w:t xml:space="preserve">et. Daraus lassen sich dann auch </w:t>
      </w:r>
      <w:r w:rsidRPr="007836CB">
        <w:rPr>
          <w:rFonts w:ascii="Arial" w:hAnsi="Arial" w:cs="Arial"/>
          <w:bCs/>
        </w:rPr>
        <w:t>Anhaltspunkte für die Abgrenzung zwischen einer Teil- und einer Totalrevision der Verfassung</w:t>
      </w:r>
      <w:r w:rsidR="0030256C">
        <w:rPr>
          <w:rFonts w:ascii="Arial" w:hAnsi="Arial" w:cs="Arial"/>
          <w:bCs/>
        </w:rPr>
        <w:t xml:space="preserve"> finden.</w:t>
      </w:r>
    </w:p>
    <w:p w14:paraId="2E4D70C8" w14:textId="5BD04F7E" w:rsidR="007836CB" w:rsidRDefault="007836CB" w:rsidP="007836CB">
      <w:pPr>
        <w:widowControl w:val="0"/>
        <w:autoSpaceDE w:val="0"/>
        <w:autoSpaceDN w:val="0"/>
        <w:adjustRightInd w:val="0"/>
        <w:rPr>
          <w:rFonts w:ascii="Arial" w:hAnsi="Arial" w:cs="Arial"/>
          <w:b/>
          <w:bCs/>
        </w:rPr>
      </w:pPr>
    </w:p>
    <w:p w14:paraId="6BEC7B3A" w14:textId="0E36C673" w:rsidR="007836CB" w:rsidRPr="007836CB" w:rsidRDefault="001C26D0" w:rsidP="007836CB">
      <w:pPr>
        <w:widowControl w:val="0"/>
        <w:autoSpaceDE w:val="0"/>
        <w:autoSpaceDN w:val="0"/>
        <w:adjustRightInd w:val="0"/>
        <w:rPr>
          <w:rFonts w:ascii="Arial" w:hAnsi="Arial" w:cs="Arial"/>
          <w:b/>
          <w:bCs/>
        </w:rPr>
      </w:pPr>
      <w:r>
        <w:rPr>
          <w:rFonts w:ascii="Arial" w:hAnsi="Arial" w:cs="Arial"/>
          <w:b/>
          <w:bCs/>
        </w:rPr>
        <w:t xml:space="preserve">5. </w:t>
      </w:r>
      <w:r w:rsidR="00ED29A6">
        <w:rPr>
          <w:rFonts w:ascii="Arial" w:hAnsi="Arial" w:cs="Arial"/>
          <w:b/>
          <w:bCs/>
        </w:rPr>
        <w:t>G</w:t>
      </w:r>
      <w:r w:rsidR="00A441AB">
        <w:rPr>
          <w:rFonts w:ascii="Arial" w:hAnsi="Arial" w:cs="Arial"/>
          <w:b/>
          <w:bCs/>
        </w:rPr>
        <w:t>e</w:t>
      </w:r>
      <w:r>
        <w:rPr>
          <w:rFonts w:ascii="Arial" w:hAnsi="Arial" w:cs="Arial"/>
          <w:b/>
          <w:bCs/>
        </w:rPr>
        <w:t>l</w:t>
      </w:r>
      <w:r w:rsidR="00ED29A6">
        <w:rPr>
          <w:rFonts w:ascii="Arial" w:hAnsi="Arial" w:cs="Arial"/>
          <w:b/>
          <w:bCs/>
        </w:rPr>
        <w:t>tende Regelung und Praxis wahrt</w:t>
      </w:r>
      <w:r w:rsidR="00A441AB">
        <w:rPr>
          <w:rFonts w:ascii="Arial" w:hAnsi="Arial" w:cs="Arial"/>
          <w:b/>
          <w:bCs/>
        </w:rPr>
        <w:t xml:space="preserve"> echte Demokratie nicht</w:t>
      </w:r>
    </w:p>
    <w:p w14:paraId="6A40405A" w14:textId="268CA9FC" w:rsidR="007836CB" w:rsidRPr="007836CB" w:rsidRDefault="007836CB" w:rsidP="007836CB">
      <w:pPr>
        <w:widowControl w:val="0"/>
        <w:autoSpaceDE w:val="0"/>
        <w:autoSpaceDN w:val="0"/>
        <w:adjustRightInd w:val="0"/>
        <w:rPr>
          <w:rFonts w:ascii="Arial" w:hAnsi="Arial" w:cs="Arial"/>
          <w:bCs/>
        </w:rPr>
      </w:pPr>
      <w:r w:rsidRPr="007836CB">
        <w:rPr>
          <w:rFonts w:ascii="Arial" w:hAnsi="Arial" w:cs="Arial"/>
          <w:bCs/>
        </w:rPr>
        <w:t xml:space="preserve">Die geltende Regelung in Art. 139 Abs. 3 BV </w:t>
      </w:r>
      <w:r w:rsidR="00A441AB">
        <w:rPr>
          <w:rFonts w:ascii="Arial" w:hAnsi="Arial" w:cs="Arial"/>
          <w:bCs/>
        </w:rPr>
        <w:t xml:space="preserve">und die bisherige Praxis dazu </w:t>
      </w:r>
      <w:proofErr w:type="spellStart"/>
      <w:r w:rsidR="00A441AB">
        <w:rPr>
          <w:rFonts w:ascii="Arial" w:hAnsi="Arial" w:cs="Arial"/>
          <w:bCs/>
        </w:rPr>
        <w:t>wahren</w:t>
      </w:r>
      <w:proofErr w:type="spellEnd"/>
      <w:r w:rsidR="00A441AB">
        <w:rPr>
          <w:rFonts w:ascii="Arial" w:hAnsi="Arial" w:cs="Arial"/>
          <w:bCs/>
        </w:rPr>
        <w:t xml:space="preserve"> </w:t>
      </w:r>
      <w:r w:rsidRPr="007836CB">
        <w:rPr>
          <w:rFonts w:ascii="Arial" w:hAnsi="Arial" w:cs="Arial"/>
          <w:bCs/>
        </w:rPr>
        <w:t>weder die Menschenrechte noch die Rechtsstaatlichkeit, wie echte Demokratie es erfordert</w:t>
      </w:r>
      <w:r w:rsidR="00AB6AFB">
        <w:rPr>
          <w:rStyle w:val="Funotenzeichen"/>
          <w:rFonts w:ascii="Arial" w:hAnsi="Arial" w:cs="Arial"/>
          <w:bCs/>
        </w:rPr>
        <w:footnoteReference w:id="26"/>
      </w:r>
      <w:r w:rsidRPr="007836CB">
        <w:rPr>
          <w:rFonts w:ascii="Arial" w:hAnsi="Arial" w:cs="Arial"/>
          <w:bCs/>
        </w:rPr>
        <w:t xml:space="preserve">. Dies zeigen die </w:t>
      </w:r>
      <w:r w:rsidR="00A441AB">
        <w:rPr>
          <w:rFonts w:ascii="Arial" w:hAnsi="Arial" w:cs="Arial"/>
          <w:bCs/>
        </w:rPr>
        <w:t xml:space="preserve">angeführten </w:t>
      </w:r>
      <w:r w:rsidR="00ED29A6">
        <w:rPr>
          <w:rFonts w:ascii="Arial" w:hAnsi="Arial" w:cs="Arial"/>
          <w:bCs/>
        </w:rPr>
        <w:t xml:space="preserve">und die weiteren bekannten </w:t>
      </w:r>
      <w:r w:rsidRPr="007836CB">
        <w:rPr>
          <w:rFonts w:ascii="Arial" w:hAnsi="Arial" w:cs="Arial"/>
          <w:bCs/>
        </w:rPr>
        <w:t>Fälle, in denen angenommene Volksinitiativen als gültig erklärt wurden und dann nicht dem Volkswillen entsprechend umgesetzt werden konnten eindrücklich auf</w:t>
      </w:r>
      <w:r w:rsidR="0022028B">
        <w:rPr>
          <w:rStyle w:val="Funotenzeichen"/>
          <w:rFonts w:ascii="Arial" w:hAnsi="Arial" w:cs="Arial"/>
          <w:bCs/>
        </w:rPr>
        <w:footnoteReference w:id="27"/>
      </w:r>
      <w:r w:rsidRPr="007836CB">
        <w:rPr>
          <w:rFonts w:ascii="Arial" w:hAnsi="Arial" w:cs="Arial"/>
          <w:bCs/>
        </w:rPr>
        <w:t>.</w:t>
      </w:r>
      <w:r w:rsidR="00A441AB">
        <w:rPr>
          <w:rFonts w:ascii="Arial" w:hAnsi="Arial" w:cs="Arial"/>
          <w:bCs/>
        </w:rPr>
        <w:t xml:space="preserve"> Der Bericht der SPK-SR, der hier nur bestimmte Schwierigkeiten sieht, verkennt, dass bereits mehrere Initiativen nicht</w:t>
      </w:r>
      <w:r w:rsidR="00941779">
        <w:rPr>
          <w:rFonts w:ascii="Arial" w:hAnsi="Arial" w:cs="Arial"/>
          <w:bCs/>
        </w:rPr>
        <w:t xml:space="preserve"> dem Volkswillen </w:t>
      </w:r>
      <w:proofErr w:type="spellStart"/>
      <w:r w:rsidR="00941779">
        <w:rPr>
          <w:rFonts w:ascii="Arial" w:hAnsi="Arial" w:cs="Arial"/>
          <w:bCs/>
        </w:rPr>
        <w:t>gemäss</w:t>
      </w:r>
      <w:proofErr w:type="spellEnd"/>
      <w:r w:rsidR="00941779">
        <w:rPr>
          <w:rFonts w:ascii="Arial" w:hAnsi="Arial" w:cs="Arial"/>
          <w:bCs/>
        </w:rPr>
        <w:t xml:space="preserve"> umgesetzt werden </w:t>
      </w:r>
      <w:r w:rsidR="00DA175A">
        <w:rPr>
          <w:rFonts w:ascii="Arial" w:hAnsi="Arial" w:cs="Arial"/>
          <w:bCs/>
        </w:rPr>
        <w:t xml:space="preserve">konnten und </w:t>
      </w:r>
      <w:r w:rsidR="00941779">
        <w:rPr>
          <w:rFonts w:ascii="Arial" w:hAnsi="Arial" w:cs="Arial"/>
          <w:bCs/>
        </w:rPr>
        <w:t>können</w:t>
      </w:r>
      <w:r w:rsidR="00387755">
        <w:rPr>
          <w:rStyle w:val="Funotenzeichen"/>
          <w:rFonts w:ascii="Arial" w:hAnsi="Arial" w:cs="Arial"/>
          <w:bCs/>
        </w:rPr>
        <w:footnoteReference w:id="28"/>
      </w:r>
      <w:r w:rsidR="00941779">
        <w:rPr>
          <w:rFonts w:ascii="Arial" w:hAnsi="Arial" w:cs="Arial"/>
          <w:bCs/>
        </w:rPr>
        <w:t>.</w:t>
      </w:r>
      <w:r w:rsidR="00A441AB">
        <w:rPr>
          <w:rFonts w:ascii="Arial" w:hAnsi="Arial" w:cs="Arial"/>
          <w:bCs/>
        </w:rPr>
        <w:t xml:space="preserve">  </w:t>
      </w:r>
    </w:p>
    <w:p w14:paraId="3DF1A645" w14:textId="77777777" w:rsidR="007836CB" w:rsidRPr="007836CB" w:rsidRDefault="007836CB" w:rsidP="007836CB">
      <w:pPr>
        <w:widowControl w:val="0"/>
        <w:autoSpaceDE w:val="0"/>
        <w:autoSpaceDN w:val="0"/>
        <w:adjustRightInd w:val="0"/>
        <w:rPr>
          <w:rFonts w:ascii="Arial" w:hAnsi="Arial" w:cs="Arial"/>
          <w:bCs/>
        </w:rPr>
      </w:pPr>
    </w:p>
    <w:p w14:paraId="7A847C48" w14:textId="4C6CE10B" w:rsidR="007836CB" w:rsidRPr="007836CB" w:rsidRDefault="007836CB" w:rsidP="007836CB">
      <w:pPr>
        <w:widowControl w:val="0"/>
        <w:autoSpaceDE w:val="0"/>
        <w:autoSpaceDN w:val="0"/>
        <w:adjustRightInd w:val="0"/>
        <w:rPr>
          <w:rFonts w:ascii="Arial" w:hAnsi="Arial" w:cs="Arial"/>
          <w:bCs/>
        </w:rPr>
      </w:pPr>
      <w:r w:rsidRPr="007836CB">
        <w:rPr>
          <w:rFonts w:ascii="Arial" w:hAnsi="Arial" w:cs="Arial"/>
          <w:bCs/>
        </w:rPr>
        <w:t>D</w:t>
      </w:r>
      <w:r w:rsidR="00941779">
        <w:rPr>
          <w:rFonts w:ascii="Arial" w:hAnsi="Arial" w:cs="Arial"/>
          <w:bCs/>
        </w:rPr>
        <w:t>as Parlament</w:t>
      </w:r>
      <w:r w:rsidR="0022028B">
        <w:rPr>
          <w:rStyle w:val="Funotenzeichen"/>
          <w:rFonts w:ascii="Arial" w:hAnsi="Arial" w:cs="Arial"/>
          <w:bCs/>
        </w:rPr>
        <w:footnoteReference w:id="29"/>
      </w:r>
      <w:r w:rsidR="00941779">
        <w:rPr>
          <w:rFonts w:ascii="Arial" w:hAnsi="Arial" w:cs="Arial"/>
          <w:bCs/>
        </w:rPr>
        <w:t xml:space="preserve"> und</w:t>
      </w:r>
      <w:r w:rsidR="002A522F">
        <w:rPr>
          <w:rFonts w:ascii="Arial" w:hAnsi="Arial" w:cs="Arial"/>
          <w:bCs/>
        </w:rPr>
        <w:t xml:space="preserve"> teilweise auch die </w:t>
      </w:r>
      <w:r w:rsidR="00941779">
        <w:rPr>
          <w:rFonts w:ascii="Arial" w:hAnsi="Arial" w:cs="Arial"/>
          <w:bCs/>
        </w:rPr>
        <w:t>Lehre</w:t>
      </w:r>
      <w:r w:rsidR="0022028B">
        <w:rPr>
          <w:rStyle w:val="Funotenzeichen"/>
          <w:rFonts w:ascii="Arial" w:hAnsi="Arial" w:cs="Arial"/>
          <w:bCs/>
        </w:rPr>
        <w:footnoteReference w:id="30"/>
      </w:r>
      <w:r w:rsidR="00941779">
        <w:rPr>
          <w:rFonts w:ascii="Arial" w:hAnsi="Arial" w:cs="Arial"/>
          <w:bCs/>
        </w:rPr>
        <w:t xml:space="preserve"> </w:t>
      </w:r>
      <w:r w:rsidR="002A522F">
        <w:rPr>
          <w:rFonts w:ascii="Arial" w:hAnsi="Arial" w:cs="Arial"/>
          <w:bCs/>
        </w:rPr>
        <w:t xml:space="preserve">scheinen sich damit zu </w:t>
      </w:r>
      <w:r w:rsidR="00941779">
        <w:rPr>
          <w:rFonts w:ascii="Arial" w:hAnsi="Arial" w:cs="Arial"/>
          <w:bCs/>
        </w:rPr>
        <w:t>begnügen</w:t>
      </w:r>
      <w:r w:rsidRPr="007836CB">
        <w:rPr>
          <w:rFonts w:ascii="Arial" w:hAnsi="Arial" w:cs="Arial"/>
          <w:bCs/>
        </w:rPr>
        <w:t>, die Menschenrechte und den Rechtsstaat al</w:t>
      </w:r>
      <w:r w:rsidR="003E17B6">
        <w:rPr>
          <w:rFonts w:ascii="Arial" w:hAnsi="Arial" w:cs="Arial"/>
          <w:bCs/>
        </w:rPr>
        <w:t xml:space="preserve">s gewahrt zu betrachten, indem </w:t>
      </w:r>
      <w:r w:rsidRPr="007836CB">
        <w:rPr>
          <w:rFonts w:ascii="Arial" w:hAnsi="Arial" w:cs="Arial"/>
          <w:bCs/>
        </w:rPr>
        <w:t>dagege</w:t>
      </w:r>
      <w:r w:rsidR="003E17B6">
        <w:rPr>
          <w:rFonts w:ascii="Arial" w:hAnsi="Arial" w:cs="Arial"/>
          <w:bCs/>
        </w:rPr>
        <w:t xml:space="preserve">n </w:t>
      </w:r>
      <w:proofErr w:type="spellStart"/>
      <w:r w:rsidR="003E17B6">
        <w:rPr>
          <w:rFonts w:ascii="Arial" w:hAnsi="Arial" w:cs="Arial"/>
          <w:bCs/>
        </w:rPr>
        <w:t>verstossende</w:t>
      </w:r>
      <w:proofErr w:type="spellEnd"/>
      <w:r w:rsidR="003E17B6">
        <w:rPr>
          <w:rFonts w:ascii="Arial" w:hAnsi="Arial" w:cs="Arial"/>
          <w:bCs/>
        </w:rPr>
        <w:t xml:space="preserve"> Initiativen </w:t>
      </w:r>
      <w:r w:rsidRPr="007836CB">
        <w:rPr>
          <w:rFonts w:ascii="Arial" w:hAnsi="Arial" w:cs="Arial"/>
          <w:bCs/>
        </w:rPr>
        <w:t xml:space="preserve">trotzdem </w:t>
      </w:r>
      <w:r w:rsidR="006E49DD">
        <w:rPr>
          <w:rFonts w:ascii="Arial" w:hAnsi="Arial" w:cs="Arial"/>
          <w:bCs/>
        </w:rPr>
        <w:t xml:space="preserve">durch den Gesetzgeber </w:t>
      </w:r>
      <w:r w:rsidRPr="007836CB">
        <w:rPr>
          <w:rFonts w:ascii="Arial" w:hAnsi="Arial" w:cs="Arial"/>
          <w:bCs/>
        </w:rPr>
        <w:t xml:space="preserve">umgesetzt werden, </w:t>
      </w:r>
      <w:r w:rsidR="002A522F">
        <w:rPr>
          <w:rFonts w:ascii="Arial" w:hAnsi="Arial" w:cs="Arial"/>
          <w:bCs/>
        </w:rPr>
        <w:t xml:space="preserve">sie </w:t>
      </w:r>
      <w:r w:rsidRPr="007836CB">
        <w:rPr>
          <w:rFonts w:ascii="Arial" w:hAnsi="Arial" w:cs="Arial"/>
          <w:bCs/>
        </w:rPr>
        <w:t>dann aber durch die Gerichte im konkreten Fall nicht angewendet werden. Das mag bei wenig bedeutenden Ausnahmefällen tragbar sein, nicht hingegen bei der Häufung von schwerwiegenden Konfliktfällen, die zu verzeichnen ist und deren Ende n</w:t>
      </w:r>
      <w:r w:rsidR="003E17B6">
        <w:rPr>
          <w:rFonts w:ascii="Arial" w:hAnsi="Arial" w:cs="Arial"/>
          <w:bCs/>
        </w:rPr>
        <w:t>icht abzusehen ist</w:t>
      </w:r>
      <w:r w:rsidR="006E49DD">
        <w:rPr>
          <w:rFonts w:ascii="Arial" w:hAnsi="Arial" w:cs="Arial"/>
          <w:bCs/>
        </w:rPr>
        <w:t>, im Gegenteil</w:t>
      </w:r>
      <w:r w:rsidR="006E49DD">
        <w:rPr>
          <w:rStyle w:val="Funotenzeichen"/>
          <w:rFonts w:ascii="Arial" w:hAnsi="Arial" w:cs="Arial"/>
          <w:bCs/>
        </w:rPr>
        <w:footnoteReference w:id="31"/>
      </w:r>
      <w:r w:rsidRPr="007836CB">
        <w:rPr>
          <w:rFonts w:ascii="Arial" w:hAnsi="Arial" w:cs="Arial"/>
          <w:bCs/>
        </w:rPr>
        <w:t>. Das zerstört die Glaubwürdigkeit des demokratischen Rechtstaates, der ohne das Vertrauen der Bürgerinnen und Bürge</w:t>
      </w:r>
      <w:r w:rsidR="00941779">
        <w:rPr>
          <w:rFonts w:ascii="Arial" w:hAnsi="Arial" w:cs="Arial"/>
          <w:bCs/>
        </w:rPr>
        <w:t xml:space="preserve">r in ihn </w:t>
      </w:r>
      <w:r w:rsidRPr="007836CB">
        <w:rPr>
          <w:rFonts w:ascii="Arial" w:hAnsi="Arial" w:cs="Arial"/>
          <w:bCs/>
        </w:rPr>
        <w:t>nicht gewahrt ist.</w:t>
      </w:r>
      <w:r w:rsidR="004A5D7C">
        <w:rPr>
          <w:rFonts w:ascii="Arial" w:hAnsi="Arial" w:cs="Arial"/>
          <w:bCs/>
        </w:rPr>
        <w:t xml:space="preserve"> Auf der Strecke bleiben die Menschenrechte, wenn die Ausführungsgesetzgebung die Grund- und Menschenrecht oder andere Grundlagen des Rechtsstaat</w:t>
      </w:r>
      <w:r w:rsidR="00DA175A">
        <w:rPr>
          <w:rFonts w:ascii="Arial" w:hAnsi="Arial" w:cs="Arial"/>
          <w:bCs/>
        </w:rPr>
        <w:t xml:space="preserve">es verletzt; </w:t>
      </w:r>
      <w:r w:rsidR="004A5D7C">
        <w:rPr>
          <w:rFonts w:ascii="Arial" w:hAnsi="Arial" w:cs="Arial"/>
          <w:bCs/>
        </w:rPr>
        <w:t xml:space="preserve">beachtet sie diese oder wird </w:t>
      </w:r>
      <w:r w:rsidR="003E17B6">
        <w:rPr>
          <w:rFonts w:ascii="Arial" w:hAnsi="Arial" w:cs="Arial"/>
          <w:bCs/>
        </w:rPr>
        <w:t>das Ausführungsgesetz durch die Gericht</w:t>
      </w:r>
      <w:r w:rsidR="006E49DD">
        <w:rPr>
          <w:rFonts w:ascii="Arial" w:hAnsi="Arial" w:cs="Arial"/>
          <w:bCs/>
        </w:rPr>
        <w:t>e</w:t>
      </w:r>
      <w:r w:rsidR="003E17B6">
        <w:rPr>
          <w:rFonts w:ascii="Arial" w:hAnsi="Arial" w:cs="Arial"/>
          <w:bCs/>
        </w:rPr>
        <w:t xml:space="preserve"> nicht angewendet, wird der Volkswille missachtet. </w:t>
      </w:r>
      <w:r w:rsidR="00991DFB">
        <w:rPr>
          <w:rFonts w:ascii="Arial" w:hAnsi="Arial" w:cs="Arial"/>
          <w:bCs/>
        </w:rPr>
        <w:t xml:space="preserve">In unhaltbarer </w:t>
      </w:r>
      <w:r w:rsidR="00845DF6">
        <w:rPr>
          <w:rFonts w:ascii="Arial" w:hAnsi="Arial" w:cs="Arial"/>
          <w:bCs/>
        </w:rPr>
        <w:t xml:space="preserve">Weise </w:t>
      </w:r>
      <w:r w:rsidR="00991DFB">
        <w:rPr>
          <w:rFonts w:ascii="Arial" w:hAnsi="Arial" w:cs="Arial"/>
          <w:bCs/>
        </w:rPr>
        <w:t>bleiben</w:t>
      </w:r>
      <w:r w:rsidR="006E49DD">
        <w:rPr>
          <w:rFonts w:ascii="Arial" w:hAnsi="Arial" w:cs="Arial"/>
          <w:bCs/>
        </w:rPr>
        <w:t xml:space="preserve"> so entweder das Rechtsstaats- </w:t>
      </w:r>
      <w:r w:rsidR="00991DFB">
        <w:rPr>
          <w:rFonts w:ascii="Arial" w:hAnsi="Arial" w:cs="Arial"/>
          <w:bCs/>
        </w:rPr>
        <w:t>oder das Demokratieprinzip auf der St</w:t>
      </w:r>
      <w:r w:rsidR="006E49DD">
        <w:rPr>
          <w:rFonts w:ascii="Arial" w:hAnsi="Arial" w:cs="Arial"/>
          <w:bCs/>
        </w:rPr>
        <w:t>recke, allenfalls auch beide mehr oder weniger</w:t>
      </w:r>
      <w:r w:rsidR="00991DFB">
        <w:rPr>
          <w:rFonts w:ascii="Arial" w:hAnsi="Arial" w:cs="Arial"/>
          <w:bCs/>
        </w:rPr>
        <w:t xml:space="preserve">. </w:t>
      </w:r>
    </w:p>
    <w:p w14:paraId="47A0C07B" w14:textId="77777777" w:rsidR="007836CB" w:rsidRPr="007836CB" w:rsidRDefault="007836CB" w:rsidP="007836CB">
      <w:pPr>
        <w:widowControl w:val="0"/>
        <w:autoSpaceDE w:val="0"/>
        <w:autoSpaceDN w:val="0"/>
        <w:adjustRightInd w:val="0"/>
        <w:rPr>
          <w:rFonts w:ascii="Arial" w:hAnsi="Arial" w:cs="Arial"/>
          <w:bCs/>
        </w:rPr>
      </w:pPr>
    </w:p>
    <w:p w14:paraId="7D04FEEE" w14:textId="63A43FE4" w:rsidR="007836CB" w:rsidRPr="007836CB" w:rsidRDefault="007836CB" w:rsidP="007836CB">
      <w:pPr>
        <w:widowControl w:val="0"/>
        <w:autoSpaceDE w:val="0"/>
        <w:autoSpaceDN w:val="0"/>
        <w:adjustRightInd w:val="0"/>
        <w:rPr>
          <w:rFonts w:ascii="Arial" w:hAnsi="Arial" w:cs="Arial"/>
          <w:bCs/>
        </w:rPr>
      </w:pPr>
      <w:r w:rsidRPr="007836CB">
        <w:rPr>
          <w:rFonts w:ascii="Arial" w:hAnsi="Arial" w:cs="Arial"/>
          <w:bCs/>
        </w:rPr>
        <w:t>Kl</w:t>
      </w:r>
      <w:r w:rsidR="006E49DD">
        <w:rPr>
          <w:rFonts w:ascii="Arial" w:hAnsi="Arial" w:cs="Arial"/>
          <w:bCs/>
        </w:rPr>
        <w:t xml:space="preserve">ar sein </w:t>
      </w:r>
      <w:r w:rsidRPr="007836CB">
        <w:rPr>
          <w:rFonts w:ascii="Arial" w:hAnsi="Arial" w:cs="Arial"/>
          <w:bCs/>
        </w:rPr>
        <w:t>muss, dass die Menschenrechte nicht zur demokratischen Disposition</w:t>
      </w:r>
      <w:r w:rsidR="00D06A1C">
        <w:rPr>
          <w:rFonts w:ascii="Arial" w:hAnsi="Arial" w:cs="Arial"/>
          <w:bCs/>
        </w:rPr>
        <w:t xml:space="preserve"> stehen, weil sie, wie </w:t>
      </w:r>
      <w:r w:rsidRPr="007836CB">
        <w:rPr>
          <w:rFonts w:ascii="Arial" w:hAnsi="Arial" w:cs="Arial"/>
          <w:bCs/>
        </w:rPr>
        <w:t>dargelegt, mit echter Demokratie untrennbar verbunden sind und die Demokratie sich selber abschafft, wenn sie Abstriche an den Menschenrechte</w:t>
      </w:r>
      <w:r w:rsidR="00DA175A">
        <w:rPr>
          <w:rFonts w:ascii="Arial" w:hAnsi="Arial" w:cs="Arial"/>
          <w:bCs/>
        </w:rPr>
        <w:t>n</w:t>
      </w:r>
      <w:r w:rsidRPr="007836CB">
        <w:rPr>
          <w:rFonts w:ascii="Arial" w:hAnsi="Arial" w:cs="Arial"/>
          <w:bCs/>
        </w:rPr>
        <w:t xml:space="preserve"> glaubt „demokratisch“ </w:t>
      </w:r>
      <w:proofErr w:type="spellStart"/>
      <w:r w:rsidRPr="007836CB">
        <w:rPr>
          <w:rFonts w:ascii="Arial" w:hAnsi="Arial" w:cs="Arial"/>
          <w:bCs/>
        </w:rPr>
        <w:t>beschliesse</w:t>
      </w:r>
      <w:r w:rsidR="00DA175A">
        <w:rPr>
          <w:rFonts w:ascii="Arial" w:hAnsi="Arial" w:cs="Arial"/>
          <w:bCs/>
        </w:rPr>
        <w:t>n</w:t>
      </w:r>
      <w:proofErr w:type="spellEnd"/>
      <w:r w:rsidR="00DA175A">
        <w:rPr>
          <w:rFonts w:ascii="Arial" w:hAnsi="Arial" w:cs="Arial"/>
          <w:bCs/>
        </w:rPr>
        <w:t xml:space="preserve"> </w:t>
      </w:r>
      <w:r w:rsidRPr="007836CB">
        <w:rPr>
          <w:rFonts w:ascii="Arial" w:hAnsi="Arial" w:cs="Arial"/>
          <w:bCs/>
        </w:rPr>
        <w:t>können</w:t>
      </w:r>
      <w:r w:rsidR="00DA175A">
        <w:rPr>
          <w:rFonts w:ascii="Arial" w:hAnsi="Arial" w:cs="Arial"/>
          <w:bCs/>
        </w:rPr>
        <w:t xml:space="preserve"> zu müssen</w:t>
      </w:r>
      <w:r w:rsidRPr="007836CB">
        <w:rPr>
          <w:rFonts w:ascii="Arial" w:hAnsi="Arial" w:cs="Arial"/>
          <w:bCs/>
        </w:rPr>
        <w:t xml:space="preserve">. Bei Teilrevisionen der Bundesverfassung ist es in jedem Fall </w:t>
      </w:r>
      <w:r w:rsidR="00DA175A">
        <w:rPr>
          <w:rFonts w:ascii="Arial" w:hAnsi="Arial" w:cs="Arial"/>
          <w:bCs/>
        </w:rPr>
        <w:t>gerechtfertigt</w:t>
      </w:r>
      <w:r w:rsidR="00B52862">
        <w:rPr>
          <w:rFonts w:ascii="Arial" w:hAnsi="Arial" w:cs="Arial"/>
          <w:bCs/>
        </w:rPr>
        <w:t xml:space="preserve"> und zur Wahrung echter Demokratie notwendig</w:t>
      </w:r>
      <w:r w:rsidR="00DA175A">
        <w:rPr>
          <w:rFonts w:ascii="Arial" w:hAnsi="Arial" w:cs="Arial"/>
          <w:bCs/>
        </w:rPr>
        <w:t xml:space="preserve">, dies </w:t>
      </w:r>
      <w:r w:rsidR="00845DF6">
        <w:rPr>
          <w:rFonts w:ascii="Arial" w:hAnsi="Arial" w:cs="Arial"/>
          <w:bCs/>
        </w:rPr>
        <w:t>zu verhindern</w:t>
      </w:r>
      <w:r w:rsidR="00B52862">
        <w:rPr>
          <w:rFonts w:ascii="Arial" w:hAnsi="Arial" w:cs="Arial"/>
          <w:bCs/>
        </w:rPr>
        <w:t>. Da</w:t>
      </w:r>
      <w:r w:rsidR="00D06A1C">
        <w:rPr>
          <w:rFonts w:ascii="Arial" w:hAnsi="Arial" w:cs="Arial"/>
          <w:bCs/>
        </w:rPr>
        <w:t xml:space="preserve">bei </w:t>
      </w:r>
      <w:r w:rsidR="00041B53">
        <w:rPr>
          <w:rFonts w:ascii="Arial" w:hAnsi="Arial" w:cs="Arial"/>
          <w:bCs/>
        </w:rPr>
        <w:t>ist zu sehen</w:t>
      </w:r>
      <w:r w:rsidR="00B52862">
        <w:rPr>
          <w:rFonts w:ascii="Arial" w:hAnsi="Arial" w:cs="Arial"/>
          <w:bCs/>
        </w:rPr>
        <w:t>, dass das Initiativrecht dadurch nicht wirklich eingeschränkt wird</w:t>
      </w:r>
      <w:r w:rsidR="00D06A1C">
        <w:rPr>
          <w:rFonts w:ascii="Arial" w:hAnsi="Arial" w:cs="Arial"/>
          <w:bCs/>
        </w:rPr>
        <w:t xml:space="preserve">, denn über Initiativen </w:t>
      </w:r>
      <w:r w:rsidR="00D06A1C">
        <w:rPr>
          <w:rFonts w:ascii="Arial" w:hAnsi="Arial" w:cs="Arial"/>
          <w:bCs/>
        </w:rPr>
        <w:lastRenderedPageBreak/>
        <w:t>abstimmen zu können, die nicht umgesetzt werden können und auch nicht werden, verhilft gar nicht dazu, einen Volkswillen durchsetzen zu können.</w:t>
      </w:r>
    </w:p>
    <w:p w14:paraId="43B4DEE8" w14:textId="77777777" w:rsidR="007836CB" w:rsidRPr="007836CB" w:rsidRDefault="007836CB" w:rsidP="007836CB">
      <w:pPr>
        <w:widowControl w:val="0"/>
        <w:autoSpaceDE w:val="0"/>
        <w:autoSpaceDN w:val="0"/>
        <w:adjustRightInd w:val="0"/>
        <w:rPr>
          <w:rFonts w:ascii="Arial" w:hAnsi="Arial" w:cs="Arial"/>
          <w:b/>
          <w:bCs/>
        </w:rPr>
      </w:pPr>
    </w:p>
    <w:p w14:paraId="5E3EBC01" w14:textId="6667ED70" w:rsidR="007836CB" w:rsidRPr="007836CB" w:rsidRDefault="001C26D0" w:rsidP="007836CB">
      <w:pPr>
        <w:widowControl w:val="0"/>
        <w:autoSpaceDE w:val="0"/>
        <w:autoSpaceDN w:val="0"/>
        <w:adjustRightInd w:val="0"/>
        <w:rPr>
          <w:rFonts w:ascii="Arial" w:hAnsi="Arial" w:cs="Arial"/>
          <w:b/>
          <w:bCs/>
        </w:rPr>
      </w:pPr>
      <w:r>
        <w:rPr>
          <w:rFonts w:ascii="Arial" w:hAnsi="Arial" w:cs="Arial"/>
          <w:b/>
          <w:bCs/>
        </w:rPr>
        <w:t>6</w:t>
      </w:r>
      <w:r w:rsidR="00941779">
        <w:rPr>
          <w:rFonts w:ascii="Arial" w:hAnsi="Arial" w:cs="Arial"/>
          <w:b/>
          <w:bCs/>
        </w:rPr>
        <w:t xml:space="preserve">. </w:t>
      </w:r>
      <w:r w:rsidR="007836CB" w:rsidRPr="007836CB">
        <w:rPr>
          <w:rFonts w:ascii="Arial" w:hAnsi="Arial" w:cs="Arial"/>
          <w:b/>
          <w:bCs/>
        </w:rPr>
        <w:t xml:space="preserve">Erweiterung der Ungültigkeitsgründe in Verbindung mit dem </w:t>
      </w:r>
      <w:proofErr w:type="spellStart"/>
      <w:r w:rsidR="00D866A2">
        <w:rPr>
          <w:rFonts w:ascii="Arial" w:hAnsi="Arial" w:cs="Arial"/>
          <w:b/>
          <w:bCs/>
        </w:rPr>
        <w:t>verfassungsmässigen</w:t>
      </w:r>
      <w:proofErr w:type="spellEnd"/>
      <w:r w:rsidR="00D866A2">
        <w:rPr>
          <w:rFonts w:ascii="Arial" w:hAnsi="Arial" w:cs="Arial"/>
          <w:b/>
          <w:bCs/>
        </w:rPr>
        <w:t xml:space="preserve"> </w:t>
      </w:r>
      <w:r w:rsidR="007836CB" w:rsidRPr="007836CB">
        <w:rPr>
          <w:rFonts w:ascii="Arial" w:hAnsi="Arial" w:cs="Arial"/>
          <w:b/>
          <w:bCs/>
        </w:rPr>
        <w:t>Schutz der politischen Rechte</w:t>
      </w:r>
      <w:r w:rsidR="00D866A2">
        <w:rPr>
          <w:rFonts w:ascii="Arial" w:hAnsi="Arial" w:cs="Arial"/>
          <w:b/>
          <w:bCs/>
        </w:rPr>
        <w:t xml:space="preserve"> als Lösung</w:t>
      </w:r>
    </w:p>
    <w:p w14:paraId="27BF52A6" w14:textId="24ECC8A9" w:rsidR="007836CB" w:rsidRPr="007836CB" w:rsidRDefault="007836CB" w:rsidP="007836CB">
      <w:pPr>
        <w:widowControl w:val="0"/>
        <w:autoSpaceDE w:val="0"/>
        <w:autoSpaceDN w:val="0"/>
        <w:adjustRightInd w:val="0"/>
        <w:rPr>
          <w:rFonts w:ascii="Arial" w:hAnsi="Arial" w:cs="Arial"/>
          <w:bCs/>
        </w:rPr>
      </w:pPr>
      <w:r w:rsidRPr="007836CB">
        <w:rPr>
          <w:rFonts w:ascii="Arial" w:hAnsi="Arial" w:cs="Arial"/>
          <w:bCs/>
        </w:rPr>
        <w:t>Die geltende Regelung in der Bundesverfassung – jedenfalls so wie sie ausgeleg</w:t>
      </w:r>
      <w:r w:rsidR="00941779">
        <w:rPr>
          <w:rFonts w:ascii="Arial" w:hAnsi="Arial" w:cs="Arial"/>
          <w:bCs/>
        </w:rPr>
        <w:t xml:space="preserve">t und angewendet wird - ist </w:t>
      </w:r>
      <w:r w:rsidR="00D06A1C">
        <w:rPr>
          <w:rFonts w:ascii="Arial" w:hAnsi="Arial" w:cs="Arial"/>
          <w:bCs/>
        </w:rPr>
        <w:t xml:space="preserve">weitgehend als </w:t>
      </w:r>
      <w:r w:rsidRPr="007836CB">
        <w:rPr>
          <w:rFonts w:ascii="Arial" w:hAnsi="Arial" w:cs="Arial"/>
          <w:bCs/>
        </w:rPr>
        <w:t>unbefriedigend anerkannt und es fehlen denn auch nicht Bemühungen von politischer Seite und Vorschläge aus der Lehre, diese zu verbessern</w:t>
      </w:r>
      <w:r w:rsidRPr="007836CB">
        <w:rPr>
          <w:rFonts w:ascii="Arial" w:hAnsi="Arial" w:cs="Arial"/>
          <w:bCs/>
          <w:vertAlign w:val="superscript"/>
        </w:rPr>
        <w:footnoteReference w:id="32"/>
      </w:r>
      <w:r w:rsidRPr="007836CB">
        <w:rPr>
          <w:rFonts w:ascii="Arial" w:hAnsi="Arial" w:cs="Arial"/>
          <w:bCs/>
          <w:vanish/>
        </w:rPr>
        <w:t>llen, dass im gewaltenteiligen Rechtssungsgericht bzw. beim Bundesgerichtdesverfassungnschaften,arstellt -  zwar insbesondere du</w:t>
      </w:r>
      <w:r w:rsidR="00FB52A2">
        <w:rPr>
          <w:rFonts w:ascii="Arial" w:hAnsi="Arial" w:cs="Arial"/>
          <w:bCs/>
        </w:rPr>
        <w:t xml:space="preserve">. Darunter ist auch der </w:t>
      </w:r>
      <w:r w:rsidRPr="007836CB">
        <w:rPr>
          <w:rFonts w:ascii="Arial" w:hAnsi="Arial" w:cs="Arial"/>
          <w:bCs/>
        </w:rPr>
        <w:t>Vorschlag des Verfassers, der als Beso</w:t>
      </w:r>
      <w:r w:rsidR="00FB52A2">
        <w:rPr>
          <w:rFonts w:ascii="Arial" w:hAnsi="Arial" w:cs="Arial"/>
          <w:bCs/>
        </w:rPr>
        <w:t xml:space="preserve">nderheit </w:t>
      </w:r>
      <w:r w:rsidRPr="007836CB">
        <w:rPr>
          <w:rFonts w:ascii="Arial" w:hAnsi="Arial" w:cs="Arial"/>
          <w:bCs/>
        </w:rPr>
        <w:t xml:space="preserve">bei der Garantie der politischen Rechte unserer Bundesverfassung ansetzt, die den Volkswillen </w:t>
      </w:r>
      <w:r w:rsidR="00FB52A2">
        <w:rPr>
          <w:rFonts w:ascii="Arial" w:hAnsi="Arial" w:cs="Arial"/>
          <w:bCs/>
        </w:rPr>
        <w:t xml:space="preserve">schützt. Dieser </w:t>
      </w:r>
      <w:r w:rsidR="00941779">
        <w:rPr>
          <w:rFonts w:ascii="Arial" w:hAnsi="Arial" w:cs="Arial"/>
          <w:bCs/>
        </w:rPr>
        <w:t xml:space="preserve">soll </w:t>
      </w:r>
      <w:r w:rsidRPr="007836CB">
        <w:rPr>
          <w:rFonts w:ascii="Arial" w:hAnsi="Arial" w:cs="Arial"/>
          <w:bCs/>
        </w:rPr>
        <w:t xml:space="preserve">hier </w:t>
      </w:r>
      <w:r w:rsidR="00FD6CEB">
        <w:rPr>
          <w:rFonts w:ascii="Arial" w:hAnsi="Arial" w:cs="Arial"/>
          <w:bCs/>
        </w:rPr>
        <w:t>näher vor</w:t>
      </w:r>
      <w:r w:rsidRPr="007836CB">
        <w:rPr>
          <w:rFonts w:ascii="Arial" w:hAnsi="Arial" w:cs="Arial"/>
          <w:bCs/>
        </w:rPr>
        <w:t xml:space="preserve">gestellt werden, als Beitrag zur Gewährleistung eines wahren demokratischen Rechtsstaates, der zum Selbstschutz das Initiativrecht seiner Bürgerinnen und Bürger beschränken kann, ja muss. </w:t>
      </w:r>
    </w:p>
    <w:p w14:paraId="2D973C36" w14:textId="77777777" w:rsidR="007836CB" w:rsidRPr="007836CB" w:rsidRDefault="007836CB" w:rsidP="007836CB">
      <w:pPr>
        <w:widowControl w:val="0"/>
        <w:autoSpaceDE w:val="0"/>
        <w:autoSpaceDN w:val="0"/>
        <w:adjustRightInd w:val="0"/>
        <w:rPr>
          <w:rFonts w:ascii="Arial" w:hAnsi="Arial" w:cs="Arial"/>
          <w:bCs/>
        </w:rPr>
      </w:pPr>
    </w:p>
    <w:p w14:paraId="412E89D8" w14:textId="3C0CBC5A" w:rsidR="007836CB" w:rsidRPr="00EC2366" w:rsidRDefault="00D866A2" w:rsidP="007836CB">
      <w:pPr>
        <w:widowControl w:val="0"/>
        <w:autoSpaceDE w:val="0"/>
        <w:autoSpaceDN w:val="0"/>
        <w:adjustRightInd w:val="0"/>
        <w:rPr>
          <w:rFonts w:ascii="Arial" w:hAnsi="Arial" w:cs="Arial"/>
          <w:b/>
          <w:bCs/>
        </w:rPr>
      </w:pPr>
      <w:r>
        <w:rPr>
          <w:rFonts w:ascii="Arial" w:hAnsi="Arial" w:cs="Arial"/>
          <w:b/>
          <w:bCs/>
        </w:rPr>
        <w:t>6</w:t>
      </w:r>
      <w:r w:rsidR="00387755" w:rsidRPr="00387755">
        <w:rPr>
          <w:rFonts w:ascii="Arial" w:hAnsi="Arial" w:cs="Arial"/>
          <w:b/>
          <w:bCs/>
        </w:rPr>
        <w:t>.</w:t>
      </w:r>
      <w:r w:rsidR="002F7882">
        <w:rPr>
          <w:rFonts w:ascii="Arial" w:hAnsi="Arial" w:cs="Arial"/>
          <w:b/>
          <w:bCs/>
        </w:rPr>
        <w:t>1</w:t>
      </w:r>
      <w:r w:rsidR="007836CB" w:rsidRPr="00387755">
        <w:rPr>
          <w:rFonts w:ascii="Arial" w:hAnsi="Arial" w:cs="Arial"/>
          <w:b/>
          <w:bCs/>
        </w:rPr>
        <w:t xml:space="preserve">. Nichtumsetzbarkeit wegen </w:t>
      </w:r>
      <w:proofErr w:type="spellStart"/>
      <w:r w:rsidR="007836CB" w:rsidRPr="00387755">
        <w:rPr>
          <w:rFonts w:ascii="Arial" w:hAnsi="Arial" w:cs="Arial"/>
          <w:b/>
          <w:bCs/>
        </w:rPr>
        <w:t>Verstosses</w:t>
      </w:r>
      <w:proofErr w:type="spellEnd"/>
      <w:r w:rsidR="007836CB" w:rsidRPr="00387755">
        <w:rPr>
          <w:rFonts w:ascii="Arial" w:hAnsi="Arial" w:cs="Arial"/>
          <w:b/>
          <w:bCs/>
        </w:rPr>
        <w:t xml:space="preserve"> gegen höherrang</w:t>
      </w:r>
      <w:r w:rsidR="002F7882">
        <w:rPr>
          <w:rFonts w:ascii="Arial" w:hAnsi="Arial" w:cs="Arial"/>
          <w:b/>
          <w:bCs/>
        </w:rPr>
        <w:t xml:space="preserve">iges Recht </w:t>
      </w:r>
      <w:r w:rsidR="007836CB" w:rsidRPr="00387755">
        <w:rPr>
          <w:rFonts w:ascii="Arial" w:hAnsi="Arial" w:cs="Arial"/>
          <w:b/>
          <w:bCs/>
        </w:rPr>
        <w:t xml:space="preserve">als Verletzung der unverfälschten Stimmabgabe </w:t>
      </w:r>
    </w:p>
    <w:p w14:paraId="1295A2C8" w14:textId="0C08D49E" w:rsidR="004B61C4" w:rsidRDefault="007836CB" w:rsidP="007836CB">
      <w:pPr>
        <w:widowControl w:val="0"/>
        <w:autoSpaceDE w:val="0"/>
        <w:autoSpaceDN w:val="0"/>
        <w:adjustRightInd w:val="0"/>
        <w:rPr>
          <w:rFonts w:ascii="Arial" w:hAnsi="Arial" w:cs="Arial"/>
          <w:bCs/>
        </w:rPr>
      </w:pPr>
      <w:r w:rsidRPr="007836CB">
        <w:rPr>
          <w:rFonts w:ascii="Arial" w:hAnsi="Arial" w:cs="Arial"/>
          <w:bCs/>
        </w:rPr>
        <w:t>Die Recht</w:t>
      </w:r>
      <w:r w:rsidR="00041B53">
        <w:rPr>
          <w:rFonts w:ascii="Arial" w:hAnsi="Arial" w:cs="Arial"/>
          <w:bCs/>
        </w:rPr>
        <w:t xml:space="preserve">sgrundlage, um gegen höherrangiges Recht </w:t>
      </w:r>
      <w:proofErr w:type="spellStart"/>
      <w:r w:rsidR="00041B53">
        <w:rPr>
          <w:rFonts w:ascii="Arial" w:hAnsi="Arial" w:cs="Arial"/>
          <w:bCs/>
        </w:rPr>
        <w:t>verstossende</w:t>
      </w:r>
      <w:proofErr w:type="spellEnd"/>
      <w:r w:rsidR="00041B53">
        <w:rPr>
          <w:rFonts w:ascii="Arial" w:hAnsi="Arial" w:cs="Arial"/>
          <w:bCs/>
        </w:rPr>
        <w:t xml:space="preserve"> </w:t>
      </w:r>
      <w:r w:rsidRPr="007836CB">
        <w:rPr>
          <w:rFonts w:ascii="Arial" w:hAnsi="Arial" w:cs="Arial"/>
          <w:bCs/>
        </w:rPr>
        <w:t xml:space="preserve">Initiativen ungültig erklären zu können, bildet die Garantie der politischen Rechte von Art. 34 BV, was in der Diskussion der Änderungsvorschläge </w:t>
      </w:r>
      <w:r w:rsidR="00041B53">
        <w:rPr>
          <w:rFonts w:ascii="Arial" w:hAnsi="Arial" w:cs="Arial"/>
          <w:bCs/>
        </w:rPr>
        <w:t xml:space="preserve">weitgehend </w:t>
      </w:r>
      <w:r w:rsidRPr="007836CB">
        <w:rPr>
          <w:rFonts w:ascii="Arial" w:hAnsi="Arial" w:cs="Arial"/>
          <w:bCs/>
        </w:rPr>
        <w:t xml:space="preserve">übersehen wird. Nach der ständigen und vielfältig konkretisierten Rechtsprechung des Bundesgerichts zu kantonalen Volksinitiativen verbürgen die politischen Rechte den Anspruch darauf, </w:t>
      </w:r>
      <w:r w:rsidRPr="007836CB">
        <w:rPr>
          <w:rFonts w:ascii="Arial" w:hAnsi="Arial" w:cs="Arial"/>
          <w:bCs/>
          <w:i/>
        </w:rPr>
        <w:t>„dass kein Abstimmungs- und Wahlergebnis anerkannt werde, welches nicht den freien Willen der Stimmbürger zuverlässig und unverfälscht zum Ausdruck bringt“</w:t>
      </w:r>
      <w:r w:rsidRPr="007836CB">
        <w:rPr>
          <w:rFonts w:ascii="Arial" w:hAnsi="Arial" w:cs="Arial"/>
          <w:bCs/>
          <w:i/>
          <w:vertAlign w:val="superscript"/>
        </w:rPr>
        <w:footnoteReference w:id="33"/>
      </w:r>
      <w:r w:rsidRPr="007836CB">
        <w:rPr>
          <w:rFonts w:ascii="Arial" w:hAnsi="Arial" w:cs="Arial"/>
          <w:bCs/>
        </w:rPr>
        <w:t xml:space="preserve">. Das Bundesgericht bejaht </w:t>
      </w:r>
      <w:r w:rsidR="007A554E">
        <w:rPr>
          <w:rFonts w:ascii="Arial" w:hAnsi="Arial" w:cs="Arial"/>
          <w:bCs/>
        </w:rPr>
        <w:t xml:space="preserve">- wie allgemein und auch durch die Bundesversammlung anerkannt </w:t>
      </w:r>
      <w:r w:rsidR="00041B53">
        <w:rPr>
          <w:rFonts w:ascii="Arial" w:hAnsi="Arial" w:cs="Arial"/>
          <w:bCs/>
        </w:rPr>
        <w:t>–</w:t>
      </w:r>
      <w:r w:rsidR="007A554E">
        <w:rPr>
          <w:rFonts w:ascii="Arial" w:hAnsi="Arial" w:cs="Arial"/>
          <w:bCs/>
        </w:rPr>
        <w:t xml:space="preserve"> </w:t>
      </w:r>
      <w:r w:rsidR="00041B53">
        <w:rPr>
          <w:rFonts w:ascii="Arial" w:hAnsi="Arial" w:cs="Arial"/>
          <w:bCs/>
        </w:rPr>
        <w:t xml:space="preserve">gestützt drauf </w:t>
      </w:r>
      <w:r w:rsidR="007A554E">
        <w:rPr>
          <w:rFonts w:ascii="Arial" w:hAnsi="Arial" w:cs="Arial"/>
          <w:bCs/>
        </w:rPr>
        <w:t>die</w:t>
      </w:r>
      <w:r w:rsidRPr="007836CB">
        <w:rPr>
          <w:rFonts w:ascii="Arial" w:hAnsi="Arial" w:cs="Arial"/>
          <w:bCs/>
        </w:rPr>
        <w:t xml:space="preserve"> Undurchführbarkeit als Grund, eine Initiative ungültig zu erklären. Es prüft </w:t>
      </w:r>
      <w:r w:rsidR="007A554E">
        <w:rPr>
          <w:rFonts w:ascii="Arial" w:hAnsi="Arial" w:cs="Arial"/>
          <w:bCs/>
        </w:rPr>
        <w:t xml:space="preserve">dazu </w:t>
      </w:r>
      <w:r w:rsidRPr="007836CB">
        <w:rPr>
          <w:rFonts w:ascii="Arial" w:hAnsi="Arial" w:cs="Arial"/>
          <w:bCs/>
        </w:rPr>
        <w:t xml:space="preserve">vor allem die Vereinbarkeit der Initiative mit dem übergeordneten Recht. Eine Volksinitiative auf </w:t>
      </w:r>
      <w:r w:rsidRPr="00041B53">
        <w:rPr>
          <w:rFonts w:ascii="Arial" w:hAnsi="Arial" w:cs="Arial"/>
          <w:bCs/>
          <w:i/>
        </w:rPr>
        <w:t>kantonaler</w:t>
      </w:r>
      <w:r w:rsidRPr="007836CB">
        <w:rPr>
          <w:rFonts w:ascii="Arial" w:hAnsi="Arial" w:cs="Arial"/>
          <w:bCs/>
        </w:rPr>
        <w:t xml:space="preserve"> Ebene</w:t>
      </w:r>
      <w:r w:rsidR="00041B53">
        <w:rPr>
          <w:rFonts w:ascii="Arial" w:hAnsi="Arial" w:cs="Arial"/>
          <w:bCs/>
        </w:rPr>
        <w:t xml:space="preserve">, </w:t>
      </w:r>
      <w:r w:rsidR="00041B53" w:rsidRPr="007836CB">
        <w:rPr>
          <w:rFonts w:ascii="Arial" w:hAnsi="Arial" w:cs="Arial"/>
          <w:bCs/>
        </w:rPr>
        <w:t>die dem übergeord</w:t>
      </w:r>
      <w:r w:rsidR="00041B53">
        <w:rPr>
          <w:rFonts w:ascii="Arial" w:hAnsi="Arial" w:cs="Arial"/>
          <w:bCs/>
        </w:rPr>
        <w:t xml:space="preserve">neten Bundesrecht widerspricht und </w:t>
      </w:r>
      <w:r w:rsidRPr="007836CB">
        <w:rPr>
          <w:rFonts w:ascii="Arial" w:hAnsi="Arial" w:cs="Arial"/>
          <w:bCs/>
        </w:rPr>
        <w:t>für die Prüfung von deren Gül</w:t>
      </w:r>
      <w:r w:rsidR="00041B53">
        <w:rPr>
          <w:rFonts w:ascii="Arial" w:hAnsi="Arial" w:cs="Arial"/>
          <w:bCs/>
        </w:rPr>
        <w:t>tigkeit das Bundesgericht seit Einführung des Initiativrechts 1891 zuständig ist</w:t>
      </w:r>
      <w:r w:rsidRPr="007836CB">
        <w:rPr>
          <w:rFonts w:ascii="Arial" w:hAnsi="Arial" w:cs="Arial"/>
          <w:bCs/>
        </w:rPr>
        <w:t>, ist</w:t>
      </w:r>
      <w:r w:rsidRPr="007836CB">
        <w:rPr>
          <w:rFonts w:ascii="Arial" w:hAnsi="Arial" w:cs="Arial"/>
          <w:bCs/>
          <w:i/>
        </w:rPr>
        <w:t xml:space="preserve"> rechtlich</w:t>
      </w:r>
      <w:r w:rsidRPr="007836CB">
        <w:rPr>
          <w:rFonts w:ascii="Arial" w:hAnsi="Arial" w:cs="Arial"/>
          <w:bCs/>
        </w:rPr>
        <w:t xml:space="preserve"> nicht durchführbar oder umsetzbar. Dies ist der tiefere Grund, weshalb sie gestützt auf Art. 34 BV ungültig zu erklären ist, wenn dies in der bundesgerichtlichen Rechtsprechung in der Regel auch nicht </w:t>
      </w:r>
      <w:r w:rsidR="004B61C4">
        <w:rPr>
          <w:rFonts w:ascii="Arial" w:hAnsi="Arial" w:cs="Arial"/>
          <w:bCs/>
        </w:rPr>
        <w:t>unmittelbar so zum Ausdruck gebracht wird</w:t>
      </w:r>
      <w:r w:rsidRPr="007836CB">
        <w:rPr>
          <w:rFonts w:ascii="Arial" w:hAnsi="Arial" w:cs="Arial"/>
          <w:bCs/>
        </w:rPr>
        <w:t>. In BGE 128 I 190 E. 5 mit Hinweisen hat das Bundesgericht indessen ausdrücklich festgehalten, die Undurchführbarkeit könne faktisch oder rechtlich sein</w:t>
      </w:r>
      <w:r w:rsidRPr="007836CB">
        <w:rPr>
          <w:rFonts w:ascii="Arial" w:hAnsi="Arial" w:cs="Arial"/>
          <w:bCs/>
          <w:vertAlign w:val="superscript"/>
        </w:rPr>
        <w:footnoteReference w:id="34"/>
      </w:r>
      <w:r w:rsidRPr="007836CB">
        <w:rPr>
          <w:rFonts w:ascii="Arial" w:hAnsi="Arial" w:cs="Arial"/>
          <w:bCs/>
        </w:rPr>
        <w:t>. Eine rechtlich nicht umsetzbare Initiative verletzt in gleicher Weise wie eine faktisch undurchführbare die freie Willenskundgabe und die unverfälschte Stimmabgabe, weil der Volkswille bei einer Annahme nicht respektiert werden kann. Daher dürfen solche Initiativen der Abstimmung nicht unterbreitet werden. Die Garantie der unverfälschte</w:t>
      </w:r>
      <w:r w:rsidR="004B61C4">
        <w:rPr>
          <w:rFonts w:ascii="Arial" w:hAnsi="Arial" w:cs="Arial"/>
          <w:bCs/>
        </w:rPr>
        <w:t>n</w:t>
      </w:r>
      <w:r w:rsidRPr="007836CB">
        <w:rPr>
          <w:rFonts w:ascii="Arial" w:hAnsi="Arial" w:cs="Arial"/>
          <w:bCs/>
        </w:rPr>
        <w:t xml:space="preserve"> Stimmabgabe verlangt, dass die Stimmberechtigten nicht </w:t>
      </w:r>
      <w:proofErr w:type="spellStart"/>
      <w:r w:rsidRPr="007836CB">
        <w:rPr>
          <w:rFonts w:ascii="Arial" w:hAnsi="Arial" w:cs="Arial"/>
          <w:bCs/>
        </w:rPr>
        <w:t>über</w:t>
      </w:r>
      <w:proofErr w:type="spellEnd"/>
      <w:r w:rsidRPr="007836CB">
        <w:rPr>
          <w:rFonts w:ascii="Arial" w:hAnsi="Arial" w:cs="Arial"/>
          <w:bCs/>
        </w:rPr>
        <w:t xml:space="preserve"> den wahren Gehalt des Abstimmungsgegenstandes getäuscht werden. Sie sollen nicht etwas, das so </w:t>
      </w:r>
      <w:r w:rsidR="004B61C4">
        <w:rPr>
          <w:rFonts w:ascii="Arial" w:hAnsi="Arial" w:cs="Arial"/>
          <w:bCs/>
        </w:rPr>
        <w:t xml:space="preserve">nicht zur Debatte steht, weil es </w:t>
      </w:r>
      <w:r w:rsidRPr="007836CB">
        <w:rPr>
          <w:rFonts w:ascii="Arial" w:hAnsi="Arial" w:cs="Arial"/>
          <w:bCs/>
        </w:rPr>
        <w:t xml:space="preserve">gar nicht verwirklicht werden kann, </w:t>
      </w:r>
      <w:r w:rsidR="004B61C4" w:rsidRPr="007836CB">
        <w:rPr>
          <w:rFonts w:ascii="Arial" w:hAnsi="Arial" w:cs="Arial"/>
          <w:bCs/>
        </w:rPr>
        <w:t>zustimmen können</w:t>
      </w:r>
      <w:r w:rsidR="004B61C4">
        <w:rPr>
          <w:rFonts w:ascii="Arial" w:hAnsi="Arial" w:cs="Arial"/>
          <w:bCs/>
        </w:rPr>
        <w:t xml:space="preserve">, </w:t>
      </w:r>
      <w:r w:rsidRPr="007836CB">
        <w:rPr>
          <w:rFonts w:ascii="Arial" w:hAnsi="Arial" w:cs="Arial"/>
          <w:bCs/>
        </w:rPr>
        <w:t xml:space="preserve">mit dem demokratisch unhaltbaren Ergebnis, dass sie ihren mit ihrer Stimme kundgetanen Willen dann missachtet sehen. </w:t>
      </w:r>
    </w:p>
    <w:p w14:paraId="4086519D" w14:textId="77777777" w:rsidR="004B61C4" w:rsidRDefault="004B61C4" w:rsidP="007836CB">
      <w:pPr>
        <w:widowControl w:val="0"/>
        <w:autoSpaceDE w:val="0"/>
        <w:autoSpaceDN w:val="0"/>
        <w:adjustRightInd w:val="0"/>
        <w:rPr>
          <w:rFonts w:ascii="Arial" w:hAnsi="Arial" w:cs="Arial"/>
          <w:bCs/>
        </w:rPr>
      </w:pPr>
    </w:p>
    <w:p w14:paraId="316B016E" w14:textId="0367D2D3" w:rsidR="007836CB" w:rsidRPr="00EA453E" w:rsidRDefault="007836CB" w:rsidP="001F06C0">
      <w:pPr>
        <w:widowControl w:val="0"/>
        <w:autoSpaceDE w:val="0"/>
        <w:autoSpaceDN w:val="0"/>
        <w:adjustRightInd w:val="0"/>
        <w:rPr>
          <w:rFonts w:ascii="Arial" w:hAnsi="Arial" w:cs="Arial"/>
        </w:rPr>
      </w:pPr>
      <w:r w:rsidRPr="007836CB">
        <w:rPr>
          <w:rFonts w:ascii="Arial" w:hAnsi="Arial" w:cs="Arial"/>
          <w:bCs/>
        </w:rPr>
        <w:t xml:space="preserve">Der Bürger hat </w:t>
      </w:r>
      <w:r w:rsidR="001F06C0">
        <w:rPr>
          <w:rFonts w:ascii="Arial" w:hAnsi="Arial" w:cs="Arial"/>
          <w:bCs/>
        </w:rPr>
        <w:t xml:space="preserve">bei kantonalen Volksinitiativen dort, wo das zuständige kantonale </w:t>
      </w:r>
      <w:r w:rsidR="001F06C0">
        <w:rPr>
          <w:rFonts w:ascii="Arial" w:hAnsi="Arial" w:cs="Arial"/>
          <w:bCs/>
        </w:rPr>
        <w:lastRenderedPageBreak/>
        <w:t>Organ</w:t>
      </w:r>
      <w:r w:rsidR="001F06C0" w:rsidRPr="001F06C0">
        <w:rPr>
          <w:rFonts w:ascii="Arial" w:hAnsi="Arial" w:cs="Arial"/>
        </w:rPr>
        <w:t xml:space="preserve"> </w:t>
      </w:r>
      <w:r w:rsidR="001F06C0" w:rsidRPr="00A94F58">
        <w:rPr>
          <w:rFonts w:ascii="Arial" w:hAnsi="Arial" w:cs="Arial"/>
        </w:rPr>
        <w:t xml:space="preserve">unter dem Gesichtswinkel der bundesrechtlichen Garantie des Stimmrechts </w:t>
      </w:r>
      <w:r w:rsidR="001F06C0">
        <w:rPr>
          <w:rFonts w:ascii="Arial" w:hAnsi="Arial" w:cs="Arial"/>
        </w:rPr>
        <w:t xml:space="preserve">diese </w:t>
      </w:r>
      <w:r w:rsidR="001F06C0" w:rsidRPr="00A94F58">
        <w:rPr>
          <w:rFonts w:ascii="Arial" w:hAnsi="Arial" w:cs="Arial"/>
        </w:rPr>
        <w:t>nach kantonalem Recht von Amtes wegen auf ihre Vereinbarkeit mit höherrangigem R</w:t>
      </w:r>
      <w:r w:rsidR="001F06C0">
        <w:rPr>
          <w:rFonts w:ascii="Arial" w:hAnsi="Arial" w:cs="Arial"/>
        </w:rPr>
        <w:t xml:space="preserve">echt </w:t>
      </w:r>
      <w:r w:rsidR="001F06C0" w:rsidRPr="00A94F58">
        <w:rPr>
          <w:rFonts w:ascii="Arial" w:hAnsi="Arial" w:cs="Arial"/>
        </w:rPr>
        <w:t>prüft</w:t>
      </w:r>
      <w:r w:rsidR="00EA453E">
        <w:rPr>
          <w:rFonts w:ascii="Arial" w:hAnsi="Arial" w:cs="Arial"/>
        </w:rPr>
        <w:t>,</w:t>
      </w:r>
      <w:r w:rsidR="001F06C0" w:rsidRPr="00A94F58">
        <w:rPr>
          <w:rFonts w:ascii="Arial" w:hAnsi="Arial" w:cs="Arial"/>
        </w:rPr>
        <w:t xml:space="preserve"> einen Anspruch, dass die obligatorische Kontrolle der </w:t>
      </w:r>
      <w:proofErr w:type="spellStart"/>
      <w:r w:rsidR="001F06C0" w:rsidRPr="00A94F58">
        <w:rPr>
          <w:rFonts w:ascii="Arial" w:hAnsi="Arial" w:cs="Arial"/>
        </w:rPr>
        <w:t>Rechtmässigkeit</w:t>
      </w:r>
      <w:proofErr w:type="spellEnd"/>
      <w:r w:rsidR="001F06C0" w:rsidRPr="00A94F58">
        <w:rPr>
          <w:rFonts w:ascii="Arial" w:hAnsi="Arial" w:cs="Arial"/>
        </w:rPr>
        <w:t xml:space="preserve"> korrekt durchgeführt wird, damit die Stimmbürgerschaft sich nicht zu Bestimmungen </w:t>
      </w:r>
      <w:proofErr w:type="spellStart"/>
      <w:r w:rsidR="001F06C0" w:rsidRPr="00A94F58">
        <w:rPr>
          <w:rFonts w:ascii="Arial" w:hAnsi="Arial" w:cs="Arial"/>
        </w:rPr>
        <w:t>äussern</w:t>
      </w:r>
      <w:proofErr w:type="spellEnd"/>
      <w:r w:rsidR="00EA453E">
        <w:rPr>
          <w:rFonts w:ascii="Arial" w:hAnsi="Arial" w:cs="Arial"/>
        </w:rPr>
        <w:t xml:space="preserve"> </w:t>
      </w:r>
      <w:r w:rsidR="001F06C0" w:rsidRPr="00A94F58">
        <w:rPr>
          <w:rFonts w:ascii="Arial" w:hAnsi="Arial" w:cs="Arial"/>
        </w:rPr>
        <w:t>muss, die von vornherein materiell höherrangigem Recht widersprechen</w:t>
      </w:r>
      <w:r w:rsidRPr="007836CB">
        <w:rPr>
          <w:rFonts w:ascii="Arial" w:hAnsi="Arial" w:cs="Arial"/>
          <w:bCs/>
          <w:vertAlign w:val="superscript"/>
        </w:rPr>
        <w:footnoteReference w:id="35"/>
      </w:r>
      <w:r w:rsidRPr="007836CB">
        <w:rPr>
          <w:rFonts w:ascii="Arial" w:hAnsi="Arial" w:cs="Arial"/>
          <w:bCs/>
        </w:rPr>
        <w:t xml:space="preserve">. </w:t>
      </w:r>
      <w:r w:rsidR="00EA453E" w:rsidRPr="00EA453E">
        <w:rPr>
          <w:rFonts w:ascii="Arial" w:hAnsi="Arial" w:cs="Arial"/>
          <w:bCs/>
        </w:rPr>
        <w:t>Da</w:t>
      </w:r>
      <w:r w:rsidR="00EA453E">
        <w:rPr>
          <w:rFonts w:ascii="Arial" w:hAnsi="Arial" w:cs="Arial"/>
          <w:bCs/>
        </w:rPr>
        <w:t xml:space="preserve"> diese Prüfung auf Bundesebene </w:t>
      </w:r>
      <w:r w:rsidR="00EA453E" w:rsidRPr="00EA453E">
        <w:rPr>
          <w:rFonts w:ascii="Arial" w:hAnsi="Arial" w:cs="Arial"/>
          <w:bCs/>
        </w:rPr>
        <w:t>in Art. 139 Abs. 3 BV vorgeschrieben ist</w:t>
      </w:r>
      <w:r w:rsidR="00EA453E">
        <w:rPr>
          <w:rFonts w:ascii="Arial" w:hAnsi="Arial" w:cs="Arial"/>
          <w:bCs/>
        </w:rPr>
        <w:t xml:space="preserve">, besteht der gleiche, aus Art. 34 BV folgende Anspruch auch bei </w:t>
      </w:r>
      <w:proofErr w:type="gramStart"/>
      <w:r w:rsidR="00EA453E">
        <w:rPr>
          <w:rFonts w:ascii="Arial" w:hAnsi="Arial" w:cs="Arial"/>
          <w:bCs/>
        </w:rPr>
        <w:t>eidgenössischen</w:t>
      </w:r>
      <w:proofErr w:type="gramEnd"/>
      <w:r w:rsidR="00EA453E">
        <w:rPr>
          <w:rFonts w:ascii="Arial" w:hAnsi="Arial" w:cs="Arial"/>
          <w:bCs/>
        </w:rPr>
        <w:t xml:space="preserve"> Volksinitiative auf Teilrevision der Bundesverfassung</w:t>
      </w:r>
      <w:r w:rsidR="00EA453E" w:rsidRPr="00EA453E">
        <w:rPr>
          <w:rFonts w:ascii="Arial" w:hAnsi="Arial" w:cs="Arial"/>
          <w:bCs/>
        </w:rPr>
        <w:t>.</w:t>
      </w:r>
      <w:r w:rsidR="00EA453E">
        <w:rPr>
          <w:rFonts w:ascii="Arial" w:hAnsi="Arial" w:cs="Arial"/>
          <w:bCs/>
        </w:rPr>
        <w:t xml:space="preserve"> </w:t>
      </w:r>
      <w:r w:rsidRPr="007836CB">
        <w:rPr>
          <w:rFonts w:ascii="Arial" w:hAnsi="Arial" w:cs="Arial"/>
          <w:bCs/>
        </w:rPr>
        <w:t xml:space="preserve">Das politische Recht, eine Volksinitiative einreichen und darüber abstimmen zu können, ist </w:t>
      </w:r>
      <w:r w:rsidR="00EA453E">
        <w:rPr>
          <w:rFonts w:ascii="Arial" w:hAnsi="Arial" w:cs="Arial"/>
          <w:bCs/>
        </w:rPr>
        <w:t xml:space="preserve">auch hier nur </w:t>
      </w:r>
      <w:r w:rsidRPr="007836CB">
        <w:rPr>
          <w:rFonts w:ascii="Arial" w:hAnsi="Arial" w:cs="Arial"/>
          <w:bCs/>
        </w:rPr>
        <w:t>gewahrt, wenn die Initianten und die zustimmenden Stimmberechtigte</w:t>
      </w:r>
      <w:r w:rsidR="00543352">
        <w:rPr>
          <w:rFonts w:ascii="Arial" w:hAnsi="Arial" w:cs="Arial"/>
          <w:bCs/>
        </w:rPr>
        <w:t xml:space="preserve">n ihren Willen </w:t>
      </w:r>
      <w:r w:rsidR="00EA453E">
        <w:rPr>
          <w:rFonts w:ascii="Arial" w:hAnsi="Arial" w:cs="Arial"/>
          <w:bCs/>
        </w:rPr>
        <w:t xml:space="preserve">nicht </w:t>
      </w:r>
      <w:r w:rsidR="00543352">
        <w:rPr>
          <w:rFonts w:ascii="Arial" w:hAnsi="Arial" w:cs="Arial"/>
          <w:bCs/>
        </w:rPr>
        <w:t xml:space="preserve">wegen </w:t>
      </w:r>
      <w:proofErr w:type="spellStart"/>
      <w:r w:rsidR="00543352">
        <w:rPr>
          <w:rFonts w:ascii="Arial" w:hAnsi="Arial" w:cs="Arial"/>
          <w:bCs/>
        </w:rPr>
        <w:t>Verstosses</w:t>
      </w:r>
      <w:proofErr w:type="spellEnd"/>
      <w:r w:rsidR="00543352">
        <w:rPr>
          <w:rFonts w:ascii="Arial" w:hAnsi="Arial" w:cs="Arial"/>
          <w:bCs/>
        </w:rPr>
        <w:t xml:space="preserve"> gegen höherrangiges Recht gar nicht verwirklicht</w:t>
      </w:r>
      <w:r w:rsidRPr="007836CB">
        <w:rPr>
          <w:rFonts w:ascii="Arial" w:hAnsi="Arial" w:cs="Arial"/>
          <w:bCs/>
        </w:rPr>
        <w:t xml:space="preserve"> sehen können.</w:t>
      </w:r>
      <w:r w:rsidR="004B61C4">
        <w:rPr>
          <w:rFonts w:ascii="Arial" w:hAnsi="Arial" w:cs="Arial"/>
          <w:bCs/>
        </w:rPr>
        <w:t xml:space="preserve"> </w:t>
      </w:r>
    </w:p>
    <w:p w14:paraId="25743C08" w14:textId="77777777" w:rsidR="002F7882" w:rsidRDefault="002F7882" w:rsidP="007836CB">
      <w:pPr>
        <w:widowControl w:val="0"/>
        <w:autoSpaceDE w:val="0"/>
        <w:autoSpaceDN w:val="0"/>
        <w:adjustRightInd w:val="0"/>
        <w:rPr>
          <w:rFonts w:ascii="Arial" w:hAnsi="Arial" w:cs="Arial"/>
          <w:bCs/>
        </w:rPr>
      </w:pPr>
    </w:p>
    <w:p w14:paraId="4CC4CD92" w14:textId="00CF0007" w:rsidR="002F7882" w:rsidRPr="007836CB" w:rsidRDefault="002F7882" w:rsidP="007836CB">
      <w:pPr>
        <w:widowControl w:val="0"/>
        <w:autoSpaceDE w:val="0"/>
        <w:autoSpaceDN w:val="0"/>
        <w:adjustRightInd w:val="0"/>
        <w:rPr>
          <w:rFonts w:ascii="Arial" w:hAnsi="Arial" w:cs="Arial"/>
          <w:bCs/>
        </w:rPr>
      </w:pPr>
      <w:r>
        <w:rPr>
          <w:rFonts w:ascii="Arial" w:hAnsi="Arial" w:cs="Arial"/>
          <w:bCs/>
        </w:rPr>
        <w:t>Das, was auf kantonaler Ebene rechtens ist, muss auch auf Bundesebene gelten, auch wenn hier die Bundesversammlung allein und ohne Beschwerdemöglichkeit an das Bundesgericht</w:t>
      </w:r>
      <w:r>
        <w:rPr>
          <w:rStyle w:val="Funotenzeichen"/>
          <w:rFonts w:ascii="Arial" w:hAnsi="Arial" w:cs="Arial"/>
          <w:bCs/>
        </w:rPr>
        <w:footnoteReference w:id="36"/>
      </w:r>
      <w:r>
        <w:rPr>
          <w:rFonts w:ascii="Arial" w:hAnsi="Arial" w:cs="Arial"/>
          <w:bCs/>
        </w:rPr>
        <w:t xml:space="preserve"> über die Gültigkeit oder Ungültigkeit einer Volksinitiative entscheidet, denn diese ist ebenso an Art. 34 BV</w:t>
      </w:r>
      <w:r w:rsidR="00EA453E">
        <w:rPr>
          <w:rFonts w:ascii="Arial" w:hAnsi="Arial" w:cs="Arial"/>
          <w:bCs/>
        </w:rPr>
        <w:t xml:space="preserve"> </w:t>
      </w:r>
      <w:r>
        <w:rPr>
          <w:rFonts w:ascii="Arial" w:hAnsi="Arial" w:cs="Arial"/>
          <w:bCs/>
        </w:rPr>
        <w:t>gebunden.</w:t>
      </w:r>
      <w:r>
        <w:rPr>
          <w:rFonts w:ascii="Arial" w:hAnsi="Arial" w:cs="Arial"/>
          <w:b/>
          <w:bCs/>
        </w:rPr>
        <w:t xml:space="preserve"> </w:t>
      </w:r>
      <w:r w:rsidRPr="007836CB">
        <w:rPr>
          <w:rFonts w:ascii="Arial" w:hAnsi="Arial" w:cs="Arial"/>
          <w:bCs/>
        </w:rPr>
        <w:t>Auch eine eidgenössische Volksinitiative auf Teilrevision der Bundesverfassung verletzt die politischen Rechte</w:t>
      </w:r>
      <w:r>
        <w:rPr>
          <w:rFonts w:ascii="Arial" w:hAnsi="Arial" w:cs="Arial"/>
          <w:bCs/>
        </w:rPr>
        <w:t xml:space="preserve"> im dargelegten Sinn</w:t>
      </w:r>
      <w:r w:rsidRPr="007836CB">
        <w:rPr>
          <w:rFonts w:ascii="Arial" w:hAnsi="Arial" w:cs="Arial"/>
          <w:bCs/>
        </w:rPr>
        <w:t>, wenn sie zur Abstimmung zugelassen wird, obwohl sie rechtlich nicht umsetzbar ist. Sie kann gleich wie eine kantonale Volksinitiative, die übergeordnetem Bundesrecht widerspricht, nicht umgesetzt werden</w:t>
      </w:r>
      <w:r w:rsidR="000916D3">
        <w:rPr>
          <w:rFonts w:ascii="Arial" w:hAnsi="Arial" w:cs="Arial"/>
          <w:bCs/>
        </w:rPr>
        <w:t>.</w:t>
      </w:r>
    </w:p>
    <w:p w14:paraId="7122AA41" w14:textId="77777777" w:rsidR="007836CB" w:rsidRPr="007836CB" w:rsidRDefault="007836CB" w:rsidP="007836CB">
      <w:pPr>
        <w:widowControl w:val="0"/>
        <w:autoSpaceDE w:val="0"/>
        <w:autoSpaceDN w:val="0"/>
        <w:adjustRightInd w:val="0"/>
        <w:rPr>
          <w:rFonts w:ascii="Arial" w:hAnsi="Arial" w:cs="Arial"/>
          <w:bCs/>
        </w:rPr>
      </w:pPr>
    </w:p>
    <w:p w14:paraId="0DE9B529" w14:textId="4FA29A4B" w:rsidR="00D9696B" w:rsidRPr="00EC2366" w:rsidRDefault="00D866A2" w:rsidP="007836CB">
      <w:pPr>
        <w:widowControl w:val="0"/>
        <w:autoSpaceDE w:val="0"/>
        <w:autoSpaceDN w:val="0"/>
        <w:adjustRightInd w:val="0"/>
        <w:rPr>
          <w:rFonts w:ascii="Arial" w:hAnsi="Arial" w:cs="Arial"/>
          <w:b/>
          <w:bCs/>
        </w:rPr>
      </w:pPr>
      <w:r>
        <w:rPr>
          <w:rFonts w:ascii="Arial" w:hAnsi="Arial" w:cs="Arial"/>
          <w:b/>
          <w:bCs/>
        </w:rPr>
        <w:t>6</w:t>
      </w:r>
      <w:r w:rsidR="00C10825" w:rsidRPr="00C10825">
        <w:rPr>
          <w:rFonts w:ascii="Arial" w:hAnsi="Arial" w:cs="Arial"/>
          <w:b/>
          <w:bCs/>
        </w:rPr>
        <w:t>.</w:t>
      </w:r>
      <w:r w:rsidR="000916D3">
        <w:rPr>
          <w:rFonts w:ascii="Arial" w:hAnsi="Arial" w:cs="Arial"/>
          <w:b/>
          <w:bCs/>
        </w:rPr>
        <w:t>2. Vorrang</w:t>
      </w:r>
      <w:r w:rsidR="007836CB" w:rsidRPr="00C10825">
        <w:rPr>
          <w:rFonts w:ascii="Arial" w:hAnsi="Arial" w:cs="Arial"/>
          <w:b/>
          <w:bCs/>
        </w:rPr>
        <w:t xml:space="preserve"> der </w:t>
      </w:r>
      <w:r w:rsidR="00631EB6">
        <w:rPr>
          <w:rFonts w:ascii="Arial" w:hAnsi="Arial" w:cs="Arial"/>
          <w:b/>
          <w:bCs/>
        </w:rPr>
        <w:t>Grund- und Menschenrechte</w:t>
      </w:r>
      <w:r w:rsidR="008C054B">
        <w:rPr>
          <w:rFonts w:ascii="Arial" w:hAnsi="Arial" w:cs="Arial"/>
          <w:b/>
          <w:bCs/>
        </w:rPr>
        <w:t xml:space="preserve"> selbst </w:t>
      </w:r>
      <w:r w:rsidR="00585D33">
        <w:rPr>
          <w:rFonts w:ascii="Arial" w:hAnsi="Arial" w:cs="Arial"/>
          <w:b/>
          <w:bCs/>
        </w:rPr>
        <w:t>gegenüber einer partikularen Verfassungsbestimmung</w:t>
      </w:r>
    </w:p>
    <w:p w14:paraId="161E685A" w14:textId="64284C3B" w:rsidR="000916D3" w:rsidRDefault="007836CB" w:rsidP="007836CB">
      <w:pPr>
        <w:widowControl w:val="0"/>
        <w:autoSpaceDE w:val="0"/>
        <w:autoSpaceDN w:val="0"/>
        <w:adjustRightInd w:val="0"/>
        <w:rPr>
          <w:rFonts w:ascii="Arial" w:hAnsi="Arial" w:cs="Arial"/>
          <w:bCs/>
        </w:rPr>
      </w:pPr>
      <w:proofErr w:type="spellStart"/>
      <w:r w:rsidRPr="007836CB">
        <w:rPr>
          <w:rFonts w:ascii="Arial" w:hAnsi="Arial" w:cs="Arial"/>
          <w:bCs/>
        </w:rPr>
        <w:t>Gemäss</w:t>
      </w:r>
      <w:proofErr w:type="spellEnd"/>
      <w:r w:rsidRPr="007836CB">
        <w:rPr>
          <w:rFonts w:ascii="Arial" w:hAnsi="Arial" w:cs="Arial"/>
          <w:bCs/>
        </w:rPr>
        <w:t xml:space="preserve"> der herrschenden und gefestigten Rechtsprechung des Bundesgerichts, geht Völkerrecht jedenfalls dann stets dem Landesrecht vor, wenn es dem Sch</w:t>
      </w:r>
      <w:r w:rsidR="00631EB6">
        <w:rPr>
          <w:rFonts w:ascii="Arial" w:hAnsi="Arial" w:cs="Arial"/>
          <w:bCs/>
        </w:rPr>
        <w:t xml:space="preserve">utz der </w:t>
      </w:r>
      <w:r w:rsidRPr="007836CB">
        <w:rPr>
          <w:rFonts w:ascii="Arial" w:hAnsi="Arial" w:cs="Arial"/>
          <w:bCs/>
        </w:rPr>
        <w:t>Menschenrechte dient. Weder die sog. Schubert-Praxis, die einen Vorbehalt bei einem durch den Gesetzgeber ausdrücklich in Kauf genommenen Konflikt mit dem Völkerrecht vorsieht, noch die Lex-</w:t>
      </w:r>
      <w:proofErr w:type="spellStart"/>
      <w:r w:rsidRPr="007836CB">
        <w:rPr>
          <w:rFonts w:ascii="Arial" w:hAnsi="Arial" w:cs="Arial"/>
          <w:bCs/>
        </w:rPr>
        <w:t>posterior</w:t>
      </w:r>
      <w:proofErr w:type="spellEnd"/>
      <w:r w:rsidRPr="007836CB">
        <w:rPr>
          <w:rFonts w:ascii="Arial" w:hAnsi="Arial" w:cs="Arial"/>
          <w:bCs/>
        </w:rPr>
        <w:t>-Regel, wonach spätere Bestimmungen früheren vorgehen, gelten in diesem Fall</w:t>
      </w:r>
      <w:r w:rsidRPr="007836CB">
        <w:rPr>
          <w:rFonts w:ascii="Arial" w:hAnsi="Arial" w:cs="Arial"/>
          <w:bCs/>
          <w:vertAlign w:val="superscript"/>
        </w:rPr>
        <w:footnoteReference w:id="37"/>
      </w:r>
      <w:r w:rsidRPr="007836CB">
        <w:rPr>
          <w:rFonts w:ascii="Arial" w:hAnsi="Arial" w:cs="Arial"/>
          <w:bCs/>
        </w:rPr>
        <w:t>.</w:t>
      </w:r>
      <w:r w:rsidR="008017C4">
        <w:rPr>
          <w:rFonts w:ascii="Arial" w:hAnsi="Arial" w:cs="Arial"/>
          <w:b/>
          <w:bCs/>
        </w:rPr>
        <w:t xml:space="preserve"> </w:t>
      </w:r>
      <w:r w:rsidRPr="007836CB">
        <w:rPr>
          <w:rFonts w:ascii="Arial" w:hAnsi="Arial" w:cs="Arial"/>
          <w:bCs/>
        </w:rPr>
        <w:t xml:space="preserve">Hinzu kommt, dass ein Urteil des Bundesgerichts </w:t>
      </w:r>
      <w:proofErr w:type="spellStart"/>
      <w:r w:rsidRPr="007836CB">
        <w:rPr>
          <w:rFonts w:ascii="Arial" w:hAnsi="Arial" w:cs="Arial"/>
          <w:bCs/>
        </w:rPr>
        <w:t>gemäss</w:t>
      </w:r>
      <w:proofErr w:type="spellEnd"/>
      <w:r w:rsidRPr="007836CB">
        <w:rPr>
          <w:rFonts w:ascii="Arial" w:hAnsi="Arial" w:cs="Arial"/>
          <w:bCs/>
        </w:rPr>
        <w:t xml:space="preserve"> Art. 122 des Bundesgerichtsgesetzes zu revidieren ist und die EMRK sich so in jedem Fall </w:t>
      </w:r>
      <w:r w:rsidR="000916D3">
        <w:rPr>
          <w:rFonts w:ascii="Arial" w:hAnsi="Arial" w:cs="Arial"/>
          <w:bCs/>
        </w:rPr>
        <w:t>durchsetzt</w:t>
      </w:r>
      <w:r w:rsidRPr="007836CB">
        <w:rPr>
          <w:rFonts w:ascii="Arial" w:hAnsi="Arial" w:cs="Arial"/>
          <w:bCs/>
        </w:rPr>
        <w:t>, wenn dieses zu einer Verurteilung der Schweiz durch den Europäischen Gerichtshof für Menschenrechte führt. Wenn vereinzelt immer wieder geltend gemacht wird, der Gesetzgeber habe den Vorrang des Völkerrechts nicht festgelegt, so schafft diese Bestimmung des Bundesgerichtsgesetzes jedenfalls in Bezug auf die EMRK Klarheit.</w:t>
      </w:r>
    </w:p>
    <w:p w14:paraId="3769E189" w14:textId="77777777" w:rsidR="00585D33" w:rsidRDefault="00585D33" w:rsidP="007836CB">
      <w:pPr>
        <w:widowControl w:val="0"/>
        <w:autoSpaceDE w:val="0"/>
        <w:autoSpaceDN w:val="0"/>
        <w:adjustRightInd w:val="0"/>
        <w:rPr>
          <w:rFonts w:ascii="Arial" w:hAnsi="Arial" w:cs="Arial"/>
          <w:bCs/>
        </w:rPr>
      </w:pPr>
    </w:p>
    <w:p w14:paraId="531F1130" w14:textId="1A57895A" w:rsidR="00585D33" w:rsidRDefault="003B7453" w:rsidP="007836CB">
      <w:pPr>
        <w:widowControl w:val="0"/>
        <w:autoSpaceDE w:val="0"/>
        <w:autoSpaceDN w:val="0"/>
        <w:adjustRightInd w:val="0"/>
        <w:rPr>
          <w:rFonts w:ascii="Arial" w:hAnsi="Arial" w:cs="Arial"/>
          <w:bCs/>
        </w:rPr>
      </w:pPr>
      <w:r>
        <w:rPr>
          <w:rFonts w:ascii="Arial" w:hAnsi="Arial" w:cs="Arial"/>
          <w:bCs/>
        </w:rPr>
        <w:t xml:space="preserve">Seine Rechtsprechung zum Vorrang der </w:t>
      </w:r>
      <w:r w:rsidR="00631EB6">
        <w:rPr>
          <w:rFonts w:ascii="Arial" w:hAnsi="Arial" w:cs="Arial"/>
          <w:bCs/>
        </w:rPr>
        <w:t>Menschenrechte vor Landesrecht hat das Bundesge</w:t>
      </w:r>
      <w:r w:rsidR="008C054B">
        <w:rPr>
          <w:rFonts w:ascii="Arial" w:hAnsi="Arial" w:cs="Arial"/>
          <w:bCs/>
        </w:rPr>
        <w:t>richt im angeführten</w:t>
      </w:r>
      <w:r w:rsidR="00491B28">
        <w:rPr>
          <w:rFonts w:ascii="Arial" w:hAnsi="Arial" w:cs="Arial"/>
          <w:bCs/>
        </w:rPr>
        <w:t>, wegweisenden</w:t>
      </w:r>
      <w:r w:rsidR="008C054B">
        <w:rPr>
          <w:rFonts w:ascii="Arial" w:hAnsi="Arial" w:cs="Arial"/>
          <w:bCs/>
        </w:rPr>
        <w:t xml:space="preserve"> Urteil </w:t>
      </w:r>
      <w:r w:rsidR="00631EB6">
        <w:rPr>
          <w:rFonts w:ascii="Arial" w:hAnsi="Arial" w:cs="Arial"/>
          <w:bCs/>
        </w:rPr>
        <w:t xml:space="preserve">zur Umsetzung der </w:t>
      </w:r>
      <w:r w:rsidR="00631EB6">
        <w:rPr>
          <w:rFonts w:ascii="Arial" w:hAnsi="Arial" w:cs="Arial"/>
          <w:bCs/>
        </w:rPr>
        <w:lastRenderedPageBreak/>
        <w:t xml:space="preserve">Ausschaffungsinitiative bekräftigt. Es hat dabei zunächst </w:t>
      </w:r>
      <w:r w:rsidR="008975AA">
        <w:rPr>
          <w:rFonts w:ascii="Arial" w:hAnsi="Arial" w:cs="Arial"/>
          <w:bCs/>
        </w:rPr>
        <w:t xml:space="preserve">in E. 3 </w:t>
      </w:r>
      <w:r w:rsidR="00631EB6">
        <w:rPr>
          <w:rFonts w:ascii="Arial" w:hAnsi="Arial" w:cs="Arial"/>
          <w:bCs/>
        </w:rPr>
        <w:t>geprüft, ob der Widerruf einer Niederlassungsbewil</w:t>
      </w:r>
      <w:r w:rsidR="008975AA">
        <w:rPr>
          <w:rFonts w:ascii="Arial" w:hAnsi="Arial" w:cs="Arial"/>
          <w:bCs/>
        </w:rPr>
        <w:t xml:space="preserve">ligung </w:t>
      </w:r>
      <w:proofErr w:type="spellStart"/>
      <w:r w:rsidR="008975AA">
        <w:rPr>
          <w:rFonts w:ascii="Arial" w:hAnsi="Arial" w:cs="Arial"/>
          <w:bCs/>
        </w:rPr>
        <w:t>verhältnismässig</w:t>
      </w:r>
      <w:proofErr w:type="spellEnd"/>
      <w:r w:rsidR="008975AA">
        <w:rPr>
          <w:rFonts w:ascii="Arial" w:hAnsi="Arial" w:cs="Arial"/>
          <w:bCs/>
        </w:rPr>
        <w:t xml:space="preserve"> und mit Art. 8 EMRK vereinbar sei, was es verneint</w:t>
      </w:r>
      <w:r w:rsidR="008C054B">
        <w:rPr>
          <w:rFonts w:ascii="Arial" w:hAnsi="Arial" w:cs="Arial"/>
          <w:bCs/>
        </w:rPr>
        <w:t xml:space="preserve"> und daher die gestützt auf Art. 63 </w:t>
      </w:r>
      <w:proofErr w:type="spellStart"/>
      <w:r w:rsidR="008C054B">
        <w:rPr>
          <w:rFonts w:ascii="Arial" w:hAnsi="Arial" w:cs="Arial"/>
          <w:bCs/>
        </w:rPr>
        <w:t>AuG</w:t>
      </w:r>
      <w:proofErr w:type="spellEnd"/>
      <w:r w:rsidR="008C054B">
        <w:rPr>
          <w:rFonts w:ascii="Arial" w:hAnsi="Arial" w:cs="Arial"/>
          <w:bCs/>
        </w:rPr>
        <w:t xml:space="preserve"> erlassene Widerrufsverfügung aufhebt</w:t>
      </w:r>
      <w:r w:rsidR="008975AA">
        <w:rPr>
          <w:rFonts w:ascii="Arial" w:hAnsi="Arial" w:cs="Arial"/>
          <w:bCs/>
        </w:rPr>
        <w:t>. Wenn es sodann in E. 4 zum Schluss kommt, nichts anderes ergebe sich aus den mit der Annahme der Ausschaffungsinitiative in die Verfassung aufgenommenen Art. 121 Abs. 3 – 6, so bedeutet dies</w:t>
      </w:r>
      <w:r w:rsidR="00066F8A">
        <w:rPr>
          <w:rFonts w:ascii="Arial" w:hAnsi="Arial" w:cs="Arial"/>
          <w:bCs/>
        </w:rPr>
        <w:t xml:space="preserve"> – und das ist bemerkenswert und wurde bisher zu wenig beachtet - </w:t>
      </w:r>
      <w:r w:rsidR="008975AA">
        <w:rPr>
          <w:rFonts w:ascii="Arial" w:hAnsi="Arial" w:cs="Arial"/>
          <w:bCs/>
        </w:rPr>
        <w:t xml:space="preserve">, dass die ratifizierten völkerrechtlichen Menschenrechtsgarantien auch gegenüber solchen partikularen Verfassungsbestimmungen den Vorrang </w:t>
      </w:r>
      <w:proofErr w:type="spellStart"/>
      <w:r w:rsidR="008975AA">
        <w:rPr>
          <w:rFonts w:ascii="Arial" w:hAnsi="Arial" w:cs="Arial"/>
          <w:bCs/>
        </w:rPr>
        <w:t>geniessen</w:t>
      </w:r>
      <w:proofErr w:type="spellEnd"/>
      <w:r w:rsidR="008975AA">
        <w:rPr>
          <w:rFonts w:ascii="Arial" w:hAnsi="Arial" w:cs="Arial"/>
          <w:bCs/>
        </w:rPr>
        <w:t>. Im</w:t>
      </w:r>
      <w:r w:rsidR="008658AA">
        <w:rPr>
          <w:rFonts w:ascii="Arial" w:hAnsi="Arial" w:cs="Arial"/>
          <w:bCs/>
        </w:rPr>
        <w:t xml:space="preserve"> Rahmen seiner Prüfung der </w:t>
      </w:r>
      <w:r w:rsidR="008C054B">
        <w:rPr>
          <w:rFonts w:ascii="Arial" w:hAnsi="Arial" w:cs="Arial"/>
          <w:bCs/>
          <w:i/>
        </w:rPr>
        <w:t>praktisch</w:t>
      </w:r>
      <w:r w:rsidR="008658AA">
        <w:rPr>
          <w:rFonts w:ascii="Arial" w:hAnsi="Arial" w:cs="Arial"/>
          <w:bCs/>
          <w:i/>
        </w:rPr>
        <w:t xml:space="preserve">en Konkordanz </w:t>
      </w:r>
      <w:r w:rsidR="008C054B">
        <w:rPr>
          <w:rFonts w:ascii="Arial" w:hAnsi="Arial" w:cs="Arial"/>
          <w:bCs/>
        </w:rPr>
        <w:t>stellt das Bundesgericht</w:t>
      </w:r>
      <w:r w:rsidR="008658AA">
        <w:rPr>
          <w:rFonts w:ascii="Arial" w:hAnsi="Arial" w:cs="Arial"/>
          <w:bCs/>
        </w:rPr>
        <w:t xml:space="preserve"> </w:t>
      </w:r>
      <w:proofErr w:type="spellStart"/>
      <w:r w:rsidR="00066F8A">
        <w:rPr>
          <w:rFonts w:ascii="Arial" w:hAnsi="Arial" w:cs="Arial"/>
          <w:bCs/>
        </w:rPr>
        <w:t>schliesslich</w:t>
      </w:r>
      <w:proofErr w:type="spellEnd"/>
      <w:r w:rsidR="00066F8A">
        <w:rPr>
          <w:rFonts w:ascii="Arial" w:hAnsi="Arial" w:cs="Arial"/>
          <w:bCs/>
        </w:rPr>
        <w:t xml:space="preserve"> </w:t>
      </w:r>
      <w:r w:rsidR="008658AA">
        <w:rPr>
          <w:rFonts w:ascii="Arial" w:hAnsi="Arial" w:cs="Arial"/>
          <w:bCs/>
        </w:rPr>
        <w:t xml:space="preserve">weiter klar, dass auch die Grundrechtsgarantien unserer Verfassung Vorrang haben vor anderen Einzelbestimmungen der Verfassung und dass auch hier </w:t>
      </w:r>
      <w:r w:rsidR="00066F8A">
        <w:rPr>
          <w:rFonts w:ascii="Arial" w:hAnsi="Arial" w:cs="Arial"/>
          <w:bCs/>
        </w:rPr>
        <w:t>weder die Schubert-Praxis noch die Lex-</w:t>
      </w:r>
      <w:proofErr w:type="spellStart"/>
      <w:r w:rsidR="00066F8A">
        <w:rPr>
          <w:rFonts w:ascii="Arial" w:hAnsi="Arial" w:cs="Arial"/>
          <w:bCs/>
        </w:rPr>
        <w:t>posterior</w:t>
      </w:r>
      <w:proofErr w:type="spellEnd"/>
      <w:r w:rsidR="00066F8A">
        <w:rPr>
          <w:rFonts w:ascii="Arial" w:hAnsi="Arial" w:cs="Arial"/>
          <w:bCs/>
        </w:rPr>
        <w:t>-Regel gelten</w:t>
      </w:r>
      <w:r w:rsidR="008C054B">
        <w:rPr>
          <w:rStyle w:val="Funotenzeichen"/>
          <w:rFonts w:ascii="Arial" w:hAnsi="Arial" w:cs="Arial"/>
          <w:bCs/>
        </w:rPr>
        <w:footnoteReference w:id="38"/>
      </w:r>
      <w:r w:rsidR="00066F8A">
        <w:rPr>
          <w:rFonts w:ascii="Arial" w:hAnsi="Arial" w:cs="Arial"/>
          <w:bCs/>
        </w:rPr>
        <w:t xml:space="preserve">. </w:t>
      </w:r>
    </w:p>
    <w:p w14:paraId="75AC5E63" w14:textId="77777777" w:rsidR="0073726E" w:rsidRDefault="0073726E" w:rsidP="007836CB">
      <w:pPr>
        <w:widowControl w:val="0"/>
        <w:autoSpaceDE w:val="0"/>
        <w:autoSpaceDN w:val="0"/>
        <w:adjustRightInd w:val="0"/>
        <w:rPr>
          <w:rFonts w:ascii="Arial" w:hAnsi="Arial" w:cs="Arial"/>
          <w:bCs/>
        </w:rPr>
      </w:pPr>
    </w:p>
    <w:p w14:paraId="69706159" w14:textId="6FAFDE17" w:rsidR="0073726E" w:rsidRPr="008658AA" w:rsidRDefault="0073726E" w:rsidP="007836CB">
      <w:pPr>
        <w:widowControl w:val="0"/>
        <w:autoSpaceDE w:val="0"/>
        <w:autoSpaceDN w:val="0"/>
        <w:adjustRightInd w:val="0"/>
        <w:rPr>
          <w:rFonts w:ascii="Arial" w:hAnsi="Arial" w:cs="Arial"/>
          <w:bCs/>
        </w:rPr>
      </w:pPr>
      <w:r w:rsidRPr="0073726E">
        <w:rPr>
          <w:rFonts w:ascii="Arial" w:hAnsi="Arial" w:cs="Arial"/>
          <w:bCs/>
        </w:rPr>
        <w:t>Mit der „</w:t>
      </w:r>
      <w:proofErr w:type="spellStart"/>
      <w:r w:rsidRPr="0073726E">
        <w:rPr>
          <w:rFonts w:ascii="Arial" w:hAnsi="Arial" w:cs="Arial"/>
          <w:bCs/>
        </w:rPr>
        <w:t>Durchsetzungsinitiave</w:t>
      </w:r>
      <w:proofErr w:type="spellEnd"/>
      <w:r w:rsidRPr="0073726E">
        <w:rPr>
          <w:rFonts w:ascii="Arial" w:hAnsi="Arial" w:cs="Arial"/>
          <w:bCs/>
        </w:rPr>
        <w:t>“, über die Volk und Stände anfangs des nächsten Jahres zu befinden haben we</w:t>
      </w:r>
      <w:r>
        <w:rPr>
          <w:rFonts w:ascii="Arial" w:hAnsi="Arial" w:cs="Arial"/>
          <w:bCs/>
        </w:rPr>
        <w:t xml:space="preserve">rden, versuchen die Initianten vergeblich, die Anwendung dieser Rechtsprechung in ihrem Fall </w:t>
      </w:r>
      <w:r w:rsidRPr="0073726E">
        <w:rPr>
          <w:rFonts w:ascii="Arial" w:hAnsi="Arial" w:cs="Arial"/>
          <w:bCs/>
        </w:rPr>
        <w:t xml:space="preserve">zu verhindern, indem </w:t>
      </w:r>
      <w:r>
        <w:rPr>
          <w:rFonts w:ascii="Arial" w:hAnsi="Arial" w:cs="Arial"/>
          <w:bCs/>
        </w:rPr>
        <w:t xml:space="preserve">sie </w:t>
      </w:r>
      <w:r w:rsidRPr="0073726E">
        <w:rPr>
          <w:rFonts w:ascii="Arial" w:hAnsi="Arial" w:cs="Arial"/>
          <w:bCs/>
        </w:rPr>
        <w:t>in einer neuen Übergangsbestimmung in Art. 197 Ziff</w:t>
      </w:r>
      <w:r>
        <w:rPr>
          <w:rFonts w:ascii="Arial" w:hAnsi="Arial" w:cs="Arial"/>
          <w:bCs/>
        </w:rPr>
        <w:t>. 9 Abs. 1 IV. bestimmen w</w:t>
      </w:r>
      <w:r w:rsidRPr="0073726E">
        <w:rPr>
          <w:rFonts w:ascii="Arial" w:hAnsi="Arial" w:cs="Arial"/>
          <w:bCs/>
        </w:rPr>
        <w:t>oll</w:t>
      </w:r>
      <w:r>
        <w:rPr>
          <w:rFonts w:ascii="Arial" w:hAnsi="Arial" w:cs="Arial"/>
          <w:bCs/>
        </w:rPr>
        <w:t>en</w:t>
      </w:r>
      <w:r w:rsidRPr="0073726E">
        <w:rPr>
          <w:rFonts w:ascii="Arial" w:hAnsi="Arial" w:cs="Arial"/>
          <w:bCs/>
        </w:rPr>
        <w:t>, die Bestimmungen der Initiative über die Landesverweisung und deren Vollzugsmodalitäten gingen dem nicht zwingenden Völkerrecht vor. Auch eine solche neue spätere Einzelbestimmung allein für die Landesverweisung könnte das Bundesgericht nicht anwenden, soweit dies zu Ei</w:t>
      </w:r>
      <w:r w:rsidR="00491B28">
        <w:rPr>
          <w:rFonts w:ascii="Arial" w:hAnsi="Arial" w:cs="Arial"/>
          <w:bCs/>
        </w:rPr>
        <w:t>nzelfallentscheiden führt</w:t>
      </w:r>
      <w:r w:rsidRPr="0073726E">
        <w:rPr>
          <w:rFonts w:ascii="Arial" w:hAnsi="Arial" w:cs="Arial"/>
          <w:bCs/>
        </w:rPr>
        <w:t xml:space="preserve">, die der EMRK und der Rechtsprechung des EGMR widersprechen. Wenn das Bundesgericht in BGE 139 I 16 E. 4.2.1.einleitend zu seinen Erwägungen </w:t>
      </w:r>
      <w:r w:rsidR="00443082">
        <w:rPr>
          <w:rFonts w:ascii="Arial" w:hAnsi="Arial" w:cs="Arial"/>
          <w:bCs/>
        </w:rPr>
        <w:t>zur Auslegung von Verfassungsbest</w:t>
      </w:r>
      <w:r w:rsidRPr="0073726E">
        <w:rPr>
          <w:rFonts w:ascii="Arial" w:hAnsi="Arial" w:cs="Arial"/>
          <w:bCs/>
        </w:rPr>
        <w:t xml:space="preserve">immungen im Sinne </w:t>
      </w:r>
      <w:r w:rsidR="00443082">
        <w:rPr>
          <w:rFonts w:ascii="Arial" w:hAnsi="Arial" w:cs="Arial"/>
          <w:bCs/>
        </w:rPr>
        <w:t xml:space="preserve">der </w:t>
      </w:r>
      <w:r w:rsidR="00443082">
        <w:rPr>
          <w:rFonts w:ascii="Arial" w:hAnsi="Arial" w:cs="Arial"/>
          <w:bCs/>
          <w:i/>
        </w:rPr>
        <w:t>praktischen</w:t>
      </w:r>
      <w:r w:rsidRPr="0073726E">
        <w:rPr>
          <w:rFonts w:ascii="Arial" w:hAnsi="Arial" w:cs="Arial"/>
          <w:bCs/>
          <w:i/>
        </w:rPr>
        <w:t xml:space="preserve"> Konkordanz</w:t>
      </w:r>
      <w:r w:rsidRPr="0073726E">
        <w:rPr>
          <w:rFonts w:ascii="Arial" w:hAnsi="Arial" w:cs="Arial"/>
          <w:bCs/>
        </w:rPr>
        <w:t xml:space="preserve"> ausführt, solange der Verfassungsgeber einer einzelnen Norm nicht ausdrücklich Vorrang einräume, sei </w:t>
      </w:r>
      <w:proofErr w:type="spellStart"/>
      <w:r w:rsidRPr="0073726E">
        <w:rPr>
          <w:rFonts w:ascii="Arial" w:hAnsi="Arial" w:cs="Arial"/>
          <w:bCs/>
        </w:rPr>
        <w:t>auslegungsmässig</w:t>
      </w:r>
      <w:proofErr w:type="spellEnd"/>
      <w:r w:rsidRPr="0073726E">
        <w:rPr>
          <w:rFonts w:ascii="Arial" w:hAnsi="Arial" w:cs="Arial"/>
          <w:bCs/>
        </w:rPr>
        <w:t xml:space="preserve"> grundsätzlich von einer Gleichwertigkeit der Regelungen auszugehen, ka</w:t>
      </w:r>
      <w:r w:rsidR="002B416E">
        <w:rPr>
          <w:rFonts w:ascii="Arial" w:hAnsi="Arial" w:cs="Arial"/>
          <w:bCs/>
        </w:rPr>
        <w:t>nn es klarerweise nicht die Meinung des Bundesgerichts sein</w:t>
      </w:r>
      <w:r w:rsidRPr="0073726E">
        <w:rPr>
          <w:rFonts w:ascii="Arial" w:hAnsi="Arial" w:cs="Arial"/>
          <w:bCs/>
        </w:rPr>
        <w:t xml:space="preserve">, eine Übergangsbestimmung wie in der </w:t>
      </w:r>
      <w:r w:rsidR="002B416E">
        <w:rPr>
          <w:rFonts w:ascii="Arial" w:hAnsi="Arial" w:cs="Arial"/>
          <w:bCs/>
        </w:rPr>
        <w:t>„</w:t>
      </w:r>
      <w:r w:rsidRPr="0073726E">
        <w:rPr>
          <w:rFonts w:ascii="Arial" w:hAnsi="Arial" w:cs="Arial"/>
          <w:bCs/>
        </w:rPr>
        <w:t>Durchsetzungsinitiative</w:t>
      </w:r>
      <w:r w:rsidR="002B416E">
        <w:rPr>
          <w:rFonts w:ascii="Arial" w:hAnsi="Arial" w:cs="Arial"/>
          <w:bCs/>
        </w:rPr>
        <w:t>“</w:t>
      </w:r>
      <w:r w:rsidRPr="0073726E">
        <w:rPr>
          <w:rFonts w:ascii="Arial" w:hAnsi="Arial" w:cs="Arial"/>
          <w:bCs/>
        </w:rPr>
        <w:t xml:space="preserve"> könne den Grundsatz des Vorrangs der Grund- und Menschenrechte in einem Einzelbereich wie den der Landesverweisung </w:t>
      </w:r>
      <w:proofErr w:type="spellStart"/>
      <w:r w:rsidRPr="0073726E">
        <w:rPr>
          <w:rFonts w:ascii="Arial" w:hAnsi="Arial" w:cs="Arial"/>
          <w:bCs/>
        </w:rPr>
        <w:t>ausschliessen</w:t>
      </w:r>
      <w:proofErr w:type="spellEnd"/>
      <w:r w:rsidRPr="0073726E">
        <w:rPr>
          <w:rFonts w:ascii="Arial" w:hAnsi="Arial" w:cs="Arial"/>
          <w:bCs/>
        </w:rPr>
        <w:t>, wie die Initianten anzunehmen scheinen. Andernfalls stünde diese Aussage in direktem Widerspruch zur Nichtgeltung der Schubert-Praxis bei den Grund- und Menschenrechten</w:t>
      </w:r>
      <w:r w:rsidR="00443082">
        <w:rPr>
          <w:rFonts w:ascii="Arial" w:hAnsi="Arial" w:cs="Arial"/>
          <w:bCs/>
        </w:rPr>
        <w:t xml:space="preserve"> in E. 5 des gleichen Entscheides, die ja </w:t>
      </w:r>
      <w:r w:rsidRPr="0073726E">
        <w:rPr>
          <w:rFonts w:ascii="Arial" w:hAnsi="Arial" w:cs="Arial"/>
          <w:bCs/>
        </w:rPr>
        <w:t xml:space="preserve">gerade bedeutet, dass weder der Gesetzgeber noch der Verfassungsgeber mit einer partikularen Bestimmung deren Vorrang </w:t>
      </w:r>
      <w:proofErr w:type="spellStart"/>
      <w:r w:rsidRPr="0073726E">
        <w:rPr>
          <w:rFonts w:ascii="Arial" w:hAnsi="Arial" w:cs="Arial"/>
          <w:bCs/>
        </w:rPr>
        <w:t>ausschliessen</w:t>
      </w:r>
      <w:proofErr w:type="spellEnd"/>
      <w:r w:rsidRPr="0073726E">
        <w:rPr>
          <w:rFonts w:ascii="Arial" w:hAnsi="Arial" w:cs="Arial"/>
          <w:bCs/>
        </w:rPr>
        <w:t xml:space="preserve"> kann</w:t>
      </w:r>
      <w:r w:rsidR="00443082">
        <w:rPr>
          <w:rFonts w:ascii="Arial" w:hAnsi="Arial" w:cs="Arial"/>
          <w:bCs/>
        </w:rPr>
        <w:t>, auch wenn er dies ausdrücklich sagte</w:t>
      </w:r>
      <w:r w:rsidRPr="0073726E">
        <w:rPr>
          <w:rFonts w:ascii="Arial" w:hAnsi="Arial" w:cs="Arial"/>
          <w:bCs/>
        </w:rPr>
        <w:t>. E</w:t>
      </w:r>
      <w:r w:rsidR="00443082">
        <w:rPr>
          <w:rFonts w:ascii="Arial" w:hAnsi="Arial" w:cs="Arial"/>
          <w:bCs/>
        </w:rPr>
        <w:t>s geht bei dieser Aussage</w:t>
      </w:r>
      <w:r w:rsidRPr="0073726E">
        <w:rPr>
          <w:rFonts w:ascii="Arial" w:hAnsi="Arial" w:cs="Arial"/>
          <w:bCs/>
        </w:rPr>
        <w:t xml:space="preserve"> denn auch um </w:t>
      </w:r>
      <w:r w:rsidR="00443082">
        <w:rPr>
          <w:rFonts w:ascii="Arial" w:hAnsi="Arial" w:cs="Arial"/>
          <w:bCs/>
        </w:rPr>
        <w:t xml:space="preserve">einen Konflikt zwischen </w:t>
      </w:r>
      <w:r w:rsidRPr="0073726E">
        <w:rPr>
          <w:rFonts w:ascii="Arial" w:hAnsi="Arial" w:cs="Arial"/>
          <w:bCs/>
        </w:rPr>
        <w:t>grundsätzlich gleichwertige</w:t>
      </w:r>
      <w:r w:rsidR="00443082">
        <w:rPr>
          <w:rFonts w:ascii="Arial" w:hAnsi="Arial" w:cs="Arial"/>
          <w:bCs/>
        </w:rPr>
        <w:t>n</w:t>
      </w:r>
      <w:r w:rsidRPr="0073726E">
        <w:rPr>
          <w:rFonts w:ascii="Arial" w:hAnsi="Arial" w:cs="Arial"/>
          <w:bCs/>
        </w:rPr>
        <w:t xml:space="preserve"> Bestimmungen, die </w:t>
      </w:r>
      <w:r w:rsidR="00443082">
        <w:rPr>
          <w:rFonts w:ascii="Arial" w:hAnsi="Arial" w:cs="Arial"/>
          <w:bCs/>
        </w:rPr>
        <w:t xml:space="preserve">beide </w:t>
      </w:r>
      <w:r w:rsidRPr="0073726E">
        <w:rPr>
          <w:rFonts w:ascii="Arial" w:hAnsi="Arial" w:cs="Arial"/>
          <w:bCs/>
        </w:rPr>
        <w:t xml:space="preserve">nicht auf Grund- und Menschenrechtsstufe stehen, wie </w:t>
      </w:r>
      <w:r w:rsidR="00443082">
        <w:rPr>
          <w:rFonts w:ascii="Arial" w:hAnsi="Arial" w:cs="Arial"/>
          <w:bCs/>
        </w:rPr>
        <w:t>dies in</w:t>
      </w:r>
      <w:r w:rsidR="002B416E">
        <w:rPr>
          <w:rFonts w:ascii="Arial" w:hAnsi="Arial" w:cs="Arial"/>
          <w:bCs/>
        </w:rPr>
        <w:t xml:space="preserve"> BGE 128 II 1 E. 3d</w:t>
      </w:r>
      <w:r w:rsidRPr="0073726E">
        <w:rPr>
          <w:rFonts w:ascii="Arial" w:hAnsi="Arial" w:cs="Arial"/>
          <w:bCs/>
        </w:rPr>
        <w:t>, auf den verwiesen wird</w:t>
      </w:r>
      <w:r w:rsidR="002B416E">
        <w:rPr>
          <w:rFonts w:ascii="Arial" w:hAnsi="Arial" w:cs="Arial"/>
          <w:bCs/>
        </w:rPr>
        <w:t>, der Fall ist</w:t>
      </w:r>
      <w:r w:rsidR="00443082">
        <w:rPr>
          <w:rStyle w:val="Funotenzeichen"/>
          <w:rFonts w:ascii="Arial" w:hAnsi="Arial" w:cs="Arial"/>
          <w:bCs/>
        </w:rPr>
        <w:footnoteReference w:id="39"/>
      </w:r>
      <w:r w:rsidRPr="0073726E">
        <w:rPr>
          <w:rFonts w:ascii="Arial" w:hAnsi="Arial" w:cs="Arial"/>
          <w:bCs/>
        </w:rPr>
        <w:t>.</w:t>
      </w:r>
      <w:r w:rsidR="00AF150B">
        <w:rPr>
          <w:rFonts w:ascii="Arial" w:hAnsi="Arial" w:cs="Arial"/>
          <w:bCs/>
        </w:rPr>
        <w:t xml:space="preserve"> Eine eindeutige Konfliktregel in einer Verfassungsbestimmung, die bei </w:t>
      </w:r>
      <w:r w:rsidR="00AF150B" w:rsidRPr="00AF150B">
        <w:rPr>
          <w:rFonts w:ascii="Arial" w:hAnsi="Arial" w:cs="Arial"/>
          <w:bCs/>
        </w:rPr>
        <w:t>gegenläufigen Grundrechtsinteressen die erforderliche Güterabwägung selber vornimmt und zum Ausdruck bringt, dass das eine Grundrecht dem anderen vorgeht und dieses im Konfliktfall verdrängt</w:t>
      </w:r>
      <w:r w:rsidR="00AF150B">
        <w:rPr>
          <w:rFonts w:ascii="Arial" w:hAnsi="Arial" w:cs="Arial"/>
          <w:bCs/>
        </w:rPr>
        <w:t xml:space="preserve">, </w:t>
      </w:r>
      <w:proofErr w:type="spellStart"/>
      <w:r w:rsidR="00AF150B">
        <w:rPr>
          <w:rFonts w:ascii="Arial" w:hAnsi="Arial" w:cs="Arial"/>
          <w:bCs/>
        </w:rPr>
        <w:t>schliesst</w:t>
      </w:r>
      <w:proofErr w:type="spellEnd"/>
      <w:r w:rsidR="00AF150B">
        <w:rPr>
          <w:rFonts w:ascii="Arial" w:hAnsi="Arial" w:cs="Arial"/>
          <w:bCs/>
        </w:rPr>
        <w:t xml:space="preserve"> das Bundesgericht in E. 4.2.2. nicht </w:t>
      </w:r>
      <w:r w:rsidR="00AF150B">
        <w:rPr>
          <w:rFonts w:ascii="Arial" w:hAnsi="Arial" w:cs="Arial"/>
          <w:bCs/>
        </w:rPr>
        <w:lastRenderedPageBreak/>
        <w:t>gänzlich</w:t>
      </w:r>
      <w:r w:rsidR="00AF150B" w:rsidRPr="00AF150B">
        <w:rPr>
          <w:rFonts w:ascii="Arial" w:hAnsi="Arial" w:cs="Arial"/>
          <w:bCs/>
        </w:rPr>
        <w:t xml:space="preserve"> </w:t>
      </w:r>
      <w:r w:rsidR="00AF150B">
        <w:rPr>
          <w:rFonts w:ascii="Arial" w:hAnsi="Arial" w:cs="Arial"/>
          <w:bCs/>
        </w:rPr>
        <w:t>aus</w:t>
      </w:r>
      <w:r w:rsidR="00AF150B">
        <w:rPr>
          <w:rStyle w:val="Funotenzeichen"/>
          <w:rFonts w:ascii="Arial" w:hAnsi="Arial" w:cs="Arial"/>
          <w:bCs/>
        </w:rPr>
        <w:footnoteReference w:id="40"/>
      </w:r>
      <w:r w:rsidR="00AF150B" w:rsidRPr="00AF150B">
        <w:rPr>
          <w:rFonts w:ascii="Arial" w:hAnsi="Arial" w:cs="Arial"/>
          <w:bCs/>
        </w:rPr>
        <w:t xml:space="preserve">. </w:t>
      </w:r>
      <w:r w:rsidR="00647892">
        <w:rPr>
          <w:rFonts w:ascii="Arial" w:hAnsi="Arial" w:cs="Arial"/>
          <w:bCs/>
        </w:rPr>
        <w:t xml:space="preserve">Dies sei </w:t>
      </w:r>
      <w:r w:rsidR="00AF150B" w:rsidRPr="00AF150B">
        <w:rPr>
          <w:rFonts w:ascii="Arial" w:hAnsi="Arial" w:cs="Arial"/>
          <w:bCs/>
        </w:rPr>
        <w:t>aber nicht leichthin anzunehmen, erst recht nicht, wenn eine Verfassungsnorm in Widerspruch zu g</w:t>
      </w:r>
      <w:r w:rsidR="00647892">
        <w:rPr>
          <w:rFonts w:ascii="Arial" w:hAnsi="Arial" w:cs="Arial"/>
          <w:bCs/>
        </w:rPr>
        <w:t>rundrechtlichen Ansprüchen gerate</w:t>
      </w:r>
      <w:r w:rsidR="00AF150B" w:rsidRPr="00AF150B">
        <w:rPr>
          <w:rFonts w:ascii="Arial" w:hAnsi="Arial" w:cs="Arial"/>
          <w:bCs/>
        </w:rPr>
        <w:t>, welche in für die Schweiz verbindlichen Mens</w:t>
      </w:r>
      <w:r w:rsidR="00647892">
        <w:rPr>
          <w:rFonts w:ascii="Arial" w:hAnsi="Arial" w:cs="Arial"/>
          <w:bCs/>
        </w:rPr>
        <w:t>chenrechtspakten garantiert seien.</w:t>
      </w:r>
    </w:p>
    <w:p w14:paraId="41472BAC" w14:textId="77777777" w:rsidR="000916D3" w:rsidRPr="007836CB" w:rsidRDefault="000916D3" w:rsidP="000916D3">
      <w:pPr>
        <w:widowControl w:val="0"/>
        <w:autoSpaceDE w:val="0"/>
        <w:autoSpaceDN w:val="0"/>
        <w:adjustRightInd w:val="0"/>
        <w:rPr>
          <w:rFonts w:ascii="Arial" w:hAnsi="Arial" w:cs="Arial"/>
          <w:bCs/>
        </w:rPr>
      </w:pPr>
    </w:p>
    <w:p w14:paraId="12EEB6EF" w14:textId="2C0601AB" w:rsidR="000916D3" w:rsidRPr="00EC2366" w:rsidRDefault="000916D3" w:rsidP="000916D3">
      <w:pPr>
        <w:widowControl w:val="0"/>
        <w:autoSpaceDE w:val="0"/>
        <w:autoSpaceDN w:val="0"/>
        <w:adjustRightInd w:val="0"/>
        <w:rPr>
          <w:rFonts w:ascii="Arial" w:hAnsi="Arial" w:cs="Arial"/>
          <w:b/>
          <w:bCs/>
        </w:rPr>
      </w:pPr>
      <w:r>
        <w:rPr>
          <w:rFonts w:ascii="Arial" w:hAnsi="Arial" w:cs="Arial"/>
          <w:b/>
          <w:bCs/>
        </w:rPr>
        <w:t>6</w:t>
      </w:r>
      <w:r w:rsidRPr="00941779">
        <w:rPr>
          <w:rFonts w:ascii="Arial" w:hAnsi="Arial" w:cs="Arial"/>
          <w:b/>
          <w:bCs/>
        </w:rPr>
        <w:t>.</w:t>
      </w:r>
      <w:r w:rsidR="003168CA">
        <w:rPr>
          <w:rFonts w:ascii="Arial" w:hAnsi="Arial" w:cs="Arial"/>
          <w:b/>
          <w:bCs/>
        </w:rPr>
        <w:t xml:space="preserve">3. Das </w:t>
      </w:r>
      <w:r>
        <w:rPr>
          <w:rFonts w:ascii="Arial" w:hAnsi="Arial" w:cs="Arial"/>
          <w:b/>
          <w:bCs/>
        </w:rPr>
        <w:t>„</w:t>
      </w:r>
      <w:r w:rsidR="003168CA">
        <w:rPr>
          <w:rFonts w:ascii="Arial" w:hAnsi="Arial" w:cs="Arial"/>
          <w:b/>
          <w:bCs/>
        </w:rPr>
        <w:t>zwingende Völkerrecht</w:t>
      </w:r>
      <w:r>
        <w:rPr>
          <w:rFonts w:ascii="Arial" w:hAnsi="Arial" w:cs="Arial"/>
          <w:b/>
          <w:bCs/>
        </w:rPr>
        <w:t>“</w:t>
      </w:r>
      <w:r w:rsidRPr="00941779">
        <w:rPr>
          <w:rFonts w:ascii="Arial" w:hAnsi="Arial" w:cs="Arial"/>
          <w:b/>
          <w:bCs/>
        </w:rPr>
        <w:t xml:space="preserve"> als Ungültigkeitsgrund</w:t>
      </w:r>
      <w:r w:rsidR="003168CA">
        <w:rPr>
          <w:rFonts w:ascii="Arial" w:hAnsi="Arial" w:cs="Arial"/>
          <w:b/>
          <w:bCs/>
        </w:rPr>
        <w:t xml:space="preserve"> </w:t>
      </w:r>
      <w:proofErr w:type="spellStart"/>
      <w:r w:rsidR="003168CA">
        <w:rPr>
          <w:rFonts w:ascii="Arial" w:hAnsi="Arial" w:cs="Arial"/>
          <w:b/>
          <w:bCs/>
        </w:rPr>
        <w:t>gemäss</w:t>
      </w:r>
      <w:proofErr w:type="spellEnd"/>
      <w:r w:rsidR="003168CA">
        <w:rPr>
          <w:rFonts w:ascii="Arial" w:hAnsi="Arial" w:cs="Arial"/>
          <w:b/>
          <w:bCs/>
        </w:rPr>
        <w:t xml:space="preserve"> seinem </w:t>
      </w:r>
      <w:r>
        <w:rPr>
          <w:rFonts w:ascii="Arial" w:hAnsi="Arial" w:cs="Arial"/>
          <w:b/>
          <w:bCs/>
        </w:rPr>
        <w:t>ursprünglichen Sinn</w:t>
      </w:r>
      <w:r w:rsidR="002B416E">
        <w:rPr>
          <w:rFonts w:ascii="Arial" w:hAnsi="Arial" w:cs="Arial"/>
          <w:b/>
          <w:bCs/>
        </w:rPr>
        <w:t xml:space="preserve"> de </w:t>
      </w:r>
      <w:proofErr w:type="spellStart"/>
      <w:r w:rsidR="002B416E">
        <w:rPr>
          <w:rFonts w:ascii="Arial" w:hAnsi="Arial" w:cs="Arial"/>
          <w:b/>
          <w:bCs/>
        </w:rPr>
        <w:t>constitutione</w:t>
      </w:r>
      <w:proofErr w:type="spellEnd"/>
      <w:r w:rsidR="002B416E">
        <w:rPr>
          <w:rFonts w:ascii="Arial" w:hAnsi="Arial" w:cs="Arial"/>
          <w:b/>
          <w:bCs/>
        </w:rPr>
        <w:t xml:space="preserve"> </w:t>
      </w:r>
      <w:proofErr w:type="spellStart"/>
      <w:r w:rsidR="002B416E">
        <w:rPr>
          <w:rFonts w:ascii="Arial" w:hAnsi="Arial" w:cs="Arial"/>
          <w:b/>
          <w:bCs/>
        </w:rPr>
        <w:t>lata</w:t>
      </w:r>
      <w:proofErr w:type="spellEnd"/>
    </w:p>
    <w:p w14:paraId="6AECA359" w14:textId="41EA2BAF" w:rsidR="000916D3" w:rsidRPr="007836CB" w:rsidRDefault="000916D3" w:rsidP="000916D3">
      <w:pPr>
        <w:widowControl w:val="0"/>
        <w:autoSpaceDE w:val="0"/>
        <w:autoSpaceDN w:val="0"/>
        <w:adjustRightInd w:val="0"/>
        <w:rPr>
          <w:rFonts w:ascii="Arial" w:hAnsi="Arial" w:cs="Arial"/>
          <w:bCs/>
        </w:rPr>
      </w:pPr>
      <w:r w:rsidRPr="007836CB">
        <w:rPr>
          <w:rFonts w:ascii="Arial" w:hAnsi="Arial" w:cs="Arial"/>
          <w:bCs/>
        </w:rPr>
        <w:t xml:space="preserve">Die Ungültigkeitsgründe für Volksinitiativen auf Teilrevision der Bundesverfassung in Art. 139 Abs. 3 BV sollten in </w:t>
      </w:r>
      <w:r w:rsidR="002B416E">
        <w:rPr>
          <w:rFonts w:ascii="Arial" w:hAnsi="Arial" w:cs="Arial"/>
          <w:bCs/>
        </w:rPr>
        <w:t>erster Linie soweit als möglich</w:t>
      </w:r>
      <w:r>
        <w:rPr>
          <w:rFonts w:ascii="Arial" w:hAnsi="Arial" w:cs="Arial"/>
          <w:bCs/>
        </w:rPr>
        <w:t xml:space="preserve"> </w:t>
      </w:r>
      <w:r w:rsidRPr="007836CB">
        <w:rPr>
          <w:rFonts w:ascii="Arial" w:hAnsi="Arial" w:cs="Arial"/>
          <w:bCs/>
        </w:rPr>
        <w:t xml:space="preserve">auf dem Wege der Auslegung und Anwendung </w:t>
      </w:r>
      <w:r>
        <w:rPr>
          <w:rFonts w:ascii="Arial" w:hAnsi="Arial" w:cs="Arial"/>
          <w:bCs/>
        </w:rPr>
        <w:t xml:space="preserve">des „zwingenden Völkerrechts“ </w:t>
      </w:r>
      <w:r w:rsidRPr="007836CB">
        <w:rPr>
          <w:rFonts w:ascii="Arial" w:hAnsi="Arial" w:cs="Arial"/>
          <w:bCs/>
        </w:rPr>
        <w:t>weiterentwickelt werden</w:t>
      </w:r>
      <w:r>
        <w:rPr>
          <w:rFonts w:ascii="Arial" w:hAnsi="Arial" w:cs="Arial"/>
          <w:bCs/>
        </w:rPr>
        <w:t xml:space="preserve">. Das ist </w:t>
      </w:r>
      <w:r w:rsidRPr="007836CB">
        <w:rPr>
          <w:rFonts w:ascii="Arial" w:hAnsi="Arial" w:cs="Arial"/>
          <w:bCs/>
        </w:rPr>
        <w:t xml:space="preserve">dank der nicht </w:t>
      </w:r>
      <w:proofErr w:type="spellStart"/>
      <w:r w:rsidRPr="007836CB">
        <w:rPr>
          <w:rFonts w:ascii="Arial" w:hAnsi="Arial" w:cs="Arial"/>
          <w:bCs/>
        </w:rPr>
        <w:t>abschliessenden</w:t>
      </w:r>
      <w:proofErr w:type="spellEnd"/>
      <w:r w:rsidRPr="007836CB">
        <w:rPr>
          <w:rFonts w:ascii="Arial" w:hAnsi="Arial" w:cs="Arial"/>
          <w:bCs/>
        </w:rPr>
        <w:t xml:space="preserve"> Aufzählung entgegen verbreiteter Meinung</w:t>
      </w:r>
      <w:r>
        <w:rPr>
          <w:rFonts w:ascii="Arial" w:hAnsi="Arial" w:cs="Arial"/>
          <w:bCs/>
        </w:rPr>
        <w:t>, wie dargelegt</w:t>
      </w:r>
      <w:r w:rsidR="00647892" w:rsidRPr="007836CB">
        <w:rPr>
          <w:rFonts w:ascii="Arial" w:hAnsi="Arial" w:cs="Arial"/>
          <w:bCs/>
        </w:rPr>
        <w:t>,</w:t>
      </w:r>
      <w:r w:rsidR="00647892">
        <w:rPr>
          <w:rFonts w:ascii="Arial" w:hAnsi="Arial" w:cs="Arial"/>
          <w:bCs/>
        </w:rPr>
        <w:t xml:space="preserve"> möglich und zulässig; ja, dies ist </w:t>
      </w:r>
      <w:proofErr w:type="spellStart"/>
      <w:r w:rsidR="00647892">
        <w:rPr>
          <w:rFonts w:ascii="Arial" w:hAnsi="Arial" w:cs="Arial"/>
          <w:bCs/>
        </w:rPr>
        <w:t>gemäss</w:t>
      </w:r>
      <w:proofErr w:type="spellEnd"/>
      <w:r w:rsidR="00647892">
        <w:rPr>
          <w:rFonts w:ascii="Arial" w:hAnsi="Arial" w:cs="Arial"/>
          <w:bCs/>
        </w:rPr>
        <w:t xml:space="preserve"> der bei der Nachführung der Bundesverfassung ausdrücklich erklärten entsprechenden Absicht aus Vertrauensschutzgründen geboten</w:t>
      </w:r>
      <w:r w:rsidR="00647892">
        <w:rPr>
          <w:rStyle w:val="Funotenzeichen"/>
          <w:rFonts w:ascii="Arial" w:hAnsi="Arial" w:cs="Arial"/>
          <w:bCs/>
        </w:rPr>
        <w:t xml:space="preserve"> </w:t>
      </w:r>
      <w:r>
        <w:rPr>
          <w:rStyle w:val="Funotenzeichen"/>
          <w:rFonts w:ascii="Arial" w:hAnsi="Arial" w:cs="Arial"/>
          <w:bCs/>
        </w:rPr>
        <w:footnoteReference w:id="41"/>
      </w:r>
      <w:r>
        <w:rPr>
          <w:rFonts w:ascii="Arial" w:hAnsi="Arial" w:cs="Arial"/>
          <w:bCs/>
        </w:rPr>
        <w:t xml:space="preserve">. </w:t>
      </w:r>
      <w:r w:rsidR="00455B67">
        <w:rPr>
          <w:rFonts w:ascii="Arial" w:hAnsi="Arial" w:cs="Arial"/>
          <w:bCs/>
        </w:rPr>
        <w:t>Unter Mitberücksichtigung der Undurchführbarkeit einer Initiative, die als ungeschriebenen Ungültigkeitsgrund anerkannt ist</w:t>
      </w:r>
      <w:r w:rsidR="00455B67">
        <w:rPr>
          <w:rStyle w:val="Funotenzeichen"/>
          <w:rFonts w:ascii="Arial" w:hAnsi="Arial" w:cs="Arial"/>
          <w:bCs/>
        </w:rPr>
        <w:footnoteReference w:id="42"/>
      </w:r>
      <w:r w:rsidR="00325C52">
        <w:rPr>
          <w:rFonts w:ascii="Arial" w:hAnsi="Arial" w:cs="Arial"/>
          <w:bCs/>
        </w:rPr>
        <w:t xml:space="preserve">, könnte eine Praxis entwickelt werden, die dem Rechnung trägt, dass Gerechtigkeit und Recht </w:t>
      </w:r>
      <w:r w:rsidR="00325C52" w:rsidRPr="001535FF">
        <w:rPr>
          <w:rFonts w:ascii="Arial" w:hAnsi="Arial" w:cs="Arial"/>
          <w:bCs/>
        </w:rPr>
        <w:t xml:space="preserve">dem staatlichen Handeln vorgeordnet </w:t>
      </w:r>
      <w:r w:rsidR="00325C52">
        <w:rPr>
          <w:rFonts w:ascii="Arial" w:hAnsi="Arial" w:cs="Arial"/>
          <w:bCs/>
        </w:rPr>
        <w:t>ist und sich namentlich aus den Grund- und Menschen</w:t>
      </w:r>
      <w:r w:rsidR="008D711A">
        <w:rPr>
          <w:rFonts w:ascii="Arial" w:hAnsi="Arial" w:cs="Arial"/>
          <w:bCs/>
        </w:rPr>
        <w:t>r</w:t>
      </w:r>
      <w:r w:rsidR="00325C52">
        <w:rPr>
          <w:rFonts w:ascii="Arial" w:hAnsi="Arial" w:cs="Arial"/>
          <w:bCs/>
        </w:rPr>
        <w:t>echtsgarantien ergibt, wie der Bundesrat dies festhielt</w:t>
      </w:r>
      <w:r w:rsidR="00325C52">
        <w:rPr>
          <w:rStyle w:val="Funotenzeichen"/>
          <w:rFonts w:ascii="Arial" w:hAnsi="Arial" w:cs="Arial"/>
          <w:bCs/>
        </w:rPr>
        <w:footnoteReference w:id="43"/>
      </w:r>
      <w:r w:rsidR="008D711A">
        <w:rPr>
          <w:rFonts w:ascii="Arial" w:hAnsi="Arial" w:cs="Arial"/>
          <w:bCs/>
        </w:rPr>
        <w:t xml:space="preserve">, und </w:t>
      </w:r>
      <w:r w:rsidR="00600B46">
        <w:rPr>
          <w:rFonts w:ascii="Arial" w:hAnsi="Arial" w:cs="Arial"/>
          <w:bCs/>
        </w:rPr>
        <w:t xml:space="preserve">die </w:t>
      </w:r>
      <w:r w:rsidR="00E31660">
        <w:rPr>
          <w:rFonts w:ascii="Arial" w:hAnsi="Arial" w:cs="Arial"/>
          <w:bCs/>
        </w:rPr>
        <w:t xml:space="preserve">dagegen </w:t>
      </w:r>
      <w:proofErr w:type="spellStart"/>
      <w:r w:rsidR="00E31660">
        <w:rPr>
          <w:rFonts w:ascii="Arial" w:hAnsi="Arial" w:cs="Arial"/>
          <w:bCs/>
        </w:rPr>
        <w:t>verst</w:t>
      </w:r>
      <w:r w:rsidR="008D711A">
        <w:rPr>
          <w:rFonts w:ascii="Arial" w:hAnsi="Arial" w:cs="Arial"/>
          <w:bCs/>
        </w:rPr>
        <w:t>ossende</w:t>
      </w:r>
      <w:proofErr w:type="spellEnd"/>
      <w:r w:rsidR="008D711A">
        <w:rPr>
          <w:rFonts w:ascii="Arial" w:hAnsi="Arial" w:cs="Arial"/>
          <w:bCs/>
        </w:rPr>
        <w:t xml:space="preserve"> und damit nicht umsetzbare Volksinitiativen ungültig erklärt.</w:t>
      </w:r>
    </w:p>
    <w:p w14:paraId="134373D6" w14:textId="77777777" w:rsidR="000916D3" w:rsidRPr="007836CB" w:rsidRDefault="000916D3" w:rsidP="000916D3">
      <w:pPr>
        <w:widowControl w:val="0"/>
        <w:autoSpaceDE w:val="0"/>
        <w:autoSpaceDN w:val="0"/>
        <w:adjustRightInd w:val="0"/>
        <w:rPr>
          <w:rFonts w:ascii="Arial" w:hAnsi="Arial" w:cs="Arial"/>
          <w:bCs/>
        </w:rPr>
      </w:pPr>
    </w:p>
    <w:p w14:paraId="279604E9" w14:textId="5EB62694" w:rsidR="000916D3" w:rsidRPr="003168CA" w:rsidRDefault="000916D3" w:rsidP="007836CB">
      <w:pPr>
        <w:widowControl w:val="0"/>
        <w:autoSpaceDE w:val="0"/>
        <w:autoSpaceDN w:val="0"/>
        <w:adjustRightInd w:val="0"/>
        <w:rPr>
          <w:rFonts w:ascii="Arial" w:hAnsi="Arial" w:cs="Arial"/>
          <w:bCs/>
        </w:rPr>
      </w:pPr>
      <w:r w:rsidRPr="007836CB">
        <w:rPr>
          <w:rFonts w:ascii="Arial" w:hAnsi="Arial" w:cs="Arial"/>
          <w:bCs/>
        </w:rPr>
        <w:t xml:space="preserve">Wie weit dies </w:t>
      </w:r>
      <w:r>
        <w:rPr>
          <w:rFonts w:ascii="Arial" w:hAnsi="Arial" w:cs="Arial"/>
          <w:bCs/>
        </w:rPr>
        <w:t xml:space="preserve">- in der gegenwärtigen unhaltbaren Lage, in die sich die Politik mit dem Abweichen vom ursprünglichen Verständnis des Kriteriums des „zwingenden Völkerrechts“ gebracht hat, - </w:t>
      </w:r>
      <w:r w:rsidRPr="007836CB">
        <w:rPr>
          <w:rFonts w:ascii="Arial" w:hAnsi="Arial" w:cs="Arial"/>
          <w:bCs/>
        </w:rPr>
        <w:t xml:space="preserve">aus </w:t>
      </w:r>
      <w:r w:rsidRPr="00387755">
        <w:rPr>
          <w:rFonts w:ascii="Arial" w:hAnsi="Arial" w:cs="Arial"/>
          <w:bCs/>
          <w:i/>
        </w:rPr>
        <w:t>politischen</w:t>
      </w:r>
      <w:r w:rsidRPr="007836CB">
        <w:rPr>
          <w:rFonts w:ascii="Arial" w:hAnsi="Arial" w:cs="Arial"/>
          <w:bCs/>
        </w:rPr>
        <w:t xml:space="preserve"> Gründen allenfalls nur mit einer entsprechenden Ergänzung von Art. 139 Abs. 3 BV über eine Teilrevision der Bundesverfassung erfolgen soll</w:t>
      </w:r>
      <w:r>
        <w:rPr>
          <w:rFonts w:ascii="Arial" w:hAnsi="Arial" w:cs="Arial"/>
          <w:bCs/>
        </w:rPr>
        <w:t>te</w:t>
      </w:r>
      <w:r w:rsidRPr="007836CB">
        <w:rPr>
          <w:rFonts w:ascii="Arial" w:hAnsi="Arial" w:cs="Arial"/>
          <w:bCs/>
        </w:rPr>
        <w:t>, sei hier offen gelassen.</w:t>
      </w:r>
      <w:r>
        <w:rPr>
          <w:rFonts w:ascii="Arial" w:hAnsi="Arial" w:cs="Arial"/>
          <w:bCs/>
        </w:rPr>
        <w:t xml:space="preserve"> </w:t>
      </w:r>
    </w:p>
    <w:p w14:paraId="5AC07CA8" w14:textId="77777777" w:rsidR="007836CB" w:rsidRPr="007836CB" w:rsidRDefault="007836CB" w:rsidP="007836CB">
      <w:pPr>
        <w:widowControl w:val="0"/>
        <w:autoSpaceDE w:val="0"/>
        <w:autoSpaceDN w:val="0"/>
        <w:adjustRightInd w:val="0"/>
        <w:rPr>
          <w:rFonts w:ascii="Arial" w:hAnsi="Arial" w:cs="Arial"/>
          <w:bCs/>
        </w:rPr>
      </w:pPr>
    </w:p>
    <w:p w14:paraId="5E48BA60" w14:textId="7D7ACF77" w:rsidR="003168CA" w:rsidRPr="00C10825" w:rsidRDefault="00D866A2" w:rsidP="007836CB">
      <w:pPr>
        <w:widowControl w:val="0"/>
        <w:autoSpaceDE w:val="0"/>
        <w:autoSpaceDN w:val="0"/>
        <w:adjustRightInd w:val="0"/>
        <w:rPr>
          <w:rFonts w:ascii="Arial" w:hAnsi="Arial" w:cs="Arial"/>
          <w:b/>
          <w:bCs/>
        </w:rPr>
      </w:pPr>
      <w:r>
        <w:rPr>
          <w:rFonts w:ascii="Arial" w:hAnsi="Arial" w:cs="Arial"/>
          <w:b/>
          <w:bCs/>
        </w:rPr>
        <w:t>6</w:t>
      </w:r>
      <w:r w:rsidR="00C10825" w:rsidRPr="00C10825">
        <w:rPr>
          <w:rFonts w:ascii="Arial" w:hAnsi="Arial" w:cs="Arial"/>
          <w:b/>
          <w:bCs/>
        </w:rPr>
        <w:t>.</w:t>
      </w:r>
      <w:r w:rsidR="003168CA">
        <w:rPr>
          <w:rFonts w:ascii="Arial" w:hAnsi="Arial" w:cs="Arial"/>
          <w:b/>
          <w:bCs/>
        </w:rPr>
        <w:t xml:space="preserve">4. </w:t>
      </w:r>
      <w:r w:rsidR="00B35513">
        <w:rPr>
          <w:rFonts w:ascii="Arial" w:hAnsi="Arial" w:cs="Arial"/>
          <w:b/>
          <w:bCs/>
        </w:rPr>
        <w:t xml:space="preserve">Nichtumsetzbarkeit wegen </w:t>
      </w:r>
      <w:proofErr w:type="spellStart"/>
      <w:r w:rsidR="00B35513">
        <w:rPr>
          <w:rFonts w:ascii="Arial" w:hAnsi="Arial" w:cs="Arial"/>
          <w:b/>
          <w:bCs/>
        </w:rPr>
        <w:t>Verstosses</w:t>
      </w:r>
      <w:proofErr w:type="spellEnd"/>
      <w:r w:rsidR="00B35513">
        <w:rPr>
          <w:rFonts w:ascii="Arial" w:hAnsi="Arial" w:cs="Arial"/>
          <w:b/>
          <w:bCs/>
        </w:rPr>
        <w:t xml:space="preserve"> gegen vorrangiges Recht auf Bundesebene als zusätzlichen Ungültigkeitsgrund</w:t>
      </w:r>
      <w:r w:rsidR="00EA70F0">
        <w:rPr>
          <w:rFonts w:ascii="Arial" w:hAnsi="Arial" w:cs="Arial"/>
          <w:b/>
          <w:bCs/>
        </w:rPr>
        <w:t xml:space="preserve"> de </w:t>
      </w:r>
      <w:proofErr w:type="spellStart"/>
      <w:r w:rsidR="00EA70F0">
        <w:rPr>
          <w:rFonts w:ascii="Arial" w:hAnsi="Arial" w:cs="Arial"/>
          <w:b/>
          <w:bCs/>
        </w:rPr>
        <w:t>cons</w:t>
      </w:r>
      <w:r w:rsidR="009F580C">
        <w:rPr>
          <w:rFonts w:ascii="Arial" w:hAnsi="Arial" w:cs="Arial"/>
          <w:b/>
          <w:bCs/>
        </w:rPr>
        <w:t>t</w:t>
      </w:r>
      <w:r w:rsidR="00EA70F0">
        <w:rPr>
          <w:rFonts w:ascii="Arial" w:hAnsi="Arial" w:cs="Arial"/>
          <w:b/>
          <w:bCs/>
        </w:rPr>
        <w:t>itutione</w:t>
      </w:r>
      <w:proofErr w:type="spellEnd"/>
      <w:r w:rsidR="00EA70F0">
        <w:rPr>
          <w:rFonts w:ascii="Arial" w:hAnsi="Arial" w:cs="Arial"/>
          <w:b/>
          <w:bCs/>
        </w:rPr>
        <w:t xml:space="preserve"> ferenda</w:t>
      </w:r>
    </w:p>
    <w:p w14:paraId="62EAD364" w14:textId="64D9729E" w:rsidR="003168CA" w:rsidRPr="007836CB" w:rsidRDefault="00B35513" w:rsidP="003168CA">
      <w:pPr>
        <w:widowControl w:val="0"/>
        <w:autoSpaceDE w:val="0"/>
        <w:autoSpaceDN w:val="0"/>
        <w:adjustRightInd w:val="0"/>
        <w:rPr>
          <w:rFonts w:ascii="Arial" w:hAnsi="Arial" w:cs="Arial"/>
          <w:bCs/>
        </w:rPr>
      </w:pPr>
      <w:r>
        <w:rPr>
          <w:rFonts w:ascii="Arial" w:hAnsi="Arial" w:cs="Arial"/>
          <w:bCs/>
        </w:rPr>
        <w:t xml:space="preserve">Auf dem Wege der Teilrevision der Bundesverfassung </w:t>
      </w:r>
      <w:r w:rsidR="003168CA">
        <w:rPr>
          <w:rFonts w:ascii="Arial" w:hAnsi="Arial" w:cs="Arial"/>
          <w:bCs/>
        </w:rPr>
        <w:t xml:space="preserve">könnte und müsste </w:t>
      </w:r>
      <w:r w:rsidR="009F580C">
        <w:rPr>
          <w:rFonts w:ascii="Arial" w:hAnsi="Arial" w:cs="Arial"/>
          <w:bCs/>
        </w:rPr>
        <w:t>in Art. 139 Abs. 3 BV</w:t>
      </w:r>
      <w:r w:rsidR="009F580C">
        <w:rPr>
          <w:rStyle w:val="Funotenzeichen"/>
          <w:rFonts w:ascii="Arial" w:hAnsi="Arial" w:cs="Arial"/>
          <w:bCs/>
        </w:rPr>
        <w:footnoteReference w:id="44"/>
      </w:r>
      <w:r w:rsidR="009F580C">
        <w:rPr>
          <w:rFonts w:ascii="Arial" w:hAnsi="Arial" w:cs="Arial"/>
          <w:bCs/>
        </w:rPr>
        <w:t xml:space="preserve"> </w:t>
      </w:r>
      <w:r w:rsidR="003168CA">
        <w:rPr>
          <w:rFonts w:ascii="Arial" w:hAnsi="Arial" w:cs="Arial"/>
          <w:bCs/>
        </w:rPr>
        <w:t>vor</w:t>
      </w:r>
      <w:r>
        <w:rPr>
          <w:rFonts w:ascii="Arial" w:hAnsi="Arial" w:cs="Arial"/>
          <w:bCs/>
        </w:rPr>
        <w:t>ge</w:t>
      </w:r>
      <w:r w:rsidR="003168CA">
        <w:rPr>
          <w:rFonts w:ascii="Arial" w:hAnsi="Arial" w:cs="Arial"/>
          <w:bCs/>
        </w:rPr>
        <w:t>sehen</w:t>
      </w:r>
      <w:r>
        <w:rPr>
          <w:rFonts w:ascii="Arial" w:hAnsi="Arial" w:cs="Arial"/>
          <w:bCs/>
        </w:rPr>
        <w:t xml:space="preserve"> werden</w:t>
      </w:r>
      <w:r w:rsidR="003168CA">
        <w:rPr>
          <w:rFonts w:ascii="Arial" w:hAnsi="Arial" w:cs="Arial"/>
          <w:bCs/>
        </w:rPr>
        <w:t>,</w:t>
      </w:r>
      <w:r w:rsidR="003168CA" w:rsidRPr="007A554E">
        <w:rPr>
          <w:rFonts w:ascii="Arial" w:hAnsi="Arial" w:cs="Arial"/>
          <w:bCs/>
        </w:rPr>
        <w:t xml:space="preserve"> </w:t>
      </w:r>
      <w:r w:rsidR="003168CA" w:rsidRPr="007836CB">
        <w:rPr>
          <w:rFonts w:ascii="Arial" w:hAnsi="Arial" w:cs="Arial"/>
          <w:bCs/>
        </w:rPr>
        <w:t xml:space="preserve">dass eine Volksinitiative </w:t>
      </w:r>
      <w:r>
        <w:rPr>
          <w:rFonts w:ascii="Arial" w:hAnsi="Arial" w:cs="Arial"/>
          <w:bCs/>
        </w:rPr>
        <w:t xml:space="preserve">- </w:t>
      </w:r>
      <w:r w:rsidR="003168CA">
        <w:rPr>
          <w:rFonts w:ascii="Arial" w:hAnsi="Arial" w:cs="Arial"/>
          <w:bCs/>
        </w:rPr>
        <w:t xml:space="preserve">als Zusatz zum enger verstandenen Ungültigkeitsgrund des „zwingenden Völkerrechts“ </w:t>
      </w:r>
      <w:r>
        <w:rPr>
          <w:rFonts w:ascii="Arial" w:hAnsi="Arial" w:cs="Arial"/>
          <w:bCs/>
        </w:rPr>
        <w:t xml:space="preserve">- </w:t>
      </w:r>
      <w:r w:rsidR="003168CA" w:rsidRPr="007836CB">
        <w:rPr>
          <w:rFonts w:ascii="Arial" w:hAnsi="Arial" w:cs="Arial"/>
          <w:bCs/>
        </w:rPr>
        <w:t xml:space="preserve">auch ungültig erklärt wird, </w:t>
      </w:r>
      <w:r w:rsidR="003168CA" w:rsidRPr="007836CB">
        <w:rPr>
          <w:rFonts w:ascii="Arial" w:hAnsi="Arial" w:cs="Arial"/>
          <w:bCs/>
          <w:i/>
        </w:rPr>
        <w:t xml:space="preserve">wenn sie offensichtlich nicht umsetzbar ist, weil sie mit den Grund- und Menschenrechten oder den </w:t>
      </w:r>
      <w:proofErr w:type="spellStart"/>
      <w:r w:rsidR="003168CA" w:rsidRPr="007836CB">
        <w:rPr>
          <w:rFonts w:ascii="Arial" w:hAnsi="Arial" w:cs="Arial"/>
          <w:bCs/>
          <w:i/>
        </w:rPr>
        <w:t>verfassungsmässigen</w:t>
      </w:r>
      <w:proofErr w:type="spellEnd"/>
      <w:r w:rsidR="003168CA" w:rsidRPr="007836CB">
        <w:rPr>
          <w:rFonts w:ascii="Arial" w:hAnsi="Arial" w:cs="Arial"/>
          <w:bCs/>
          <w:i/>
        </w:rPr>
        <w:t xml:space="preserve"> Grundlagen des Rechtsstaates nicht vereinbar ist.</w:t>
      </w:r>
      <w:r w:rsidR="008D711A">
        <w:rPr>
          <w:rFonts w:ascii="Arial" w:hAnsi="Arial" w:cs="Arial"/>
          <w:bCs/>
        </w:rPr>
        <w:t xml:space="preserve"> U</w:t>
      </w:r>
      <w:r w:rsidR="003168CA">
        <w:rPr>
          <w:rFonts w:ascii="Arial" w:hAnsi="Arial" w:cs="Arial"/>
          <w:bCs/>
        </w:rPr>
        <w:t xml:space="preserve">nter Rückgriff auf </w:t>
      </w:r>
      <w:r w:rsidR="008D711A">
        <w:rPr>
          <w:rFonts w:ascii="Arial" w:hAnsi="Arial" w:cs="Arial"/>
          <w:bCs/>
        </w:rPr>
        <w:t>die Praxis des Bundesgerichts, wie sie dem</w:t>
      </w:r>
      <w:r w:rsidR="003168CA">
        <w:rPr>
          <w:rFonts w:ascii="Arial" w:hAnsi="Arial" w:cs="Arial"/>
          <w:bCs/>
        </w:rPr>
        <w:t xml:space="preserve"> </w:t>
      </w:r>
      <w:r w:rsidR="003168CA" w:rsidRPr="007836CB">
        <w:rPr>
          <w:rFonts w:ascii="Arial" w:hAnsi="Arial" w:cs="Arial"/>
          <w:bCs/>
        </w:rPr>
        <w:t>Bundesgerichtsentscheid zur Nichtumsetzbarkeit d</w:t>
      </w:r>
      <w:r w:rsidR="003168CA">
        <w:rPr>
          <w:rFonts w:ascii="Arial" w:hAnsi="Arial" w:cs="Arial"/>
          <w:bCs/>
        </w:rPr>
        <w:t xml:space="preserve">er Ausschaffungsinitiative </w:t>
      </w:r>
      <w:r w:rsidR="008D711A">
        <w:rPr>
          <w:rFonts w:ascii="Arial" w:hAnsi="Arial" w:cs="Arial"/>
          <w:bCs/>
        </w:rPr>
        <w:t>zu entnehmen ist, könnte dieser neue Ungültigkeitsgrund in der Praxis konkretisiert werden. E</w:t>
      </w:r>
      <w:r w:rsidR="003168CA" w:rsidRPr="007836CB">
        <w:rPr>
          <w:rFonts w:ascii="Arial" w:hAnsi="Arial" w:cs="Arial"/>
          <w:bCs/>
        </w:rPr>
        <w:t>ine Vo</w:t>
      </w:r>
      <w:r w:rsidR="003168CA">
        <w:rPr>
          <w:rFonts w:ascii="Arial" w:hAnsi="Arial" w:cs="Arial"/>
          <w:bCs/>
        </w:rPr>
        <w:t xml:space="preserve">lksinitiative </w:t>
      </w:r>
      <w:r w:rsidR="008D711A">
        <w:rPr>
          <w:rFonts w:ascii="Arial" w:hAnsi="Arial" w:cs="Arial"/>
          <w:bCs/>
        </w:rPr>
        <w:t xml:space="preserve">könnte und müsste so </w:t>
      </w:r>
      <w:r w:rsidR="003168CA">
        <w:rPr>
          <w:rFonts w:ascii="Arial" w:hAnsi="Arial" w:cs="Arial"/>
          <w:bCs/>
        </w:rPr>
        <w:t xml:space="preserve">ungültig </w:t>
      </w:r>
      <w:r w:rsidR="008D711A">
        <w:rPr>
          <w:rFonts w:ascii="Arial" w:hAnsi="Arial" w:cs="Arial"/>
          <w:bCs/>
        </w:rPr>
        <w:t>erklärt werden</w:t>
      </w:r>
      <w:r w:rsidR="003168CA" w:rsidRPr="007836CB">
        <w:rPr>
          <w:rFonts w:ascii="Arial" w:hAnsi="Arial" w:cs="Arial"/>
          <w:bCs/>
        </w:rPr>
        <w:t>,</w:t>
      </w:r>
      <w:r w:rsidR="003168CA">
        <w:rPr>
          <w:rFonts w:ascii="Arial" w:hAnsi="Arial" w:cs="Arial"/>
          <w:bCs/>
        </w:rPr>
        <w:t xml:space="preserve"> wenn und soweit sie </w:t>
      </w:r>
      <w:r w:rsidR="003168CA" w:rsidRPr="007836CB">
        <w:rPr>
          <w:rFonts w:ascii="Arial" w:hAnsi="Arial" w:cs="Arial"/>
          <w:bCs/>
        </w:rPr>
        <w:t xml:space="preserve">wegen </w:t>
      </w:r>
      <w:proofErr w:type="spellStart"/>
      <w:r w:rsidR="003168CA" w:rsidRPr="007836CB">
        <w:rPr>
          <w:rFonts w:ascii="Arial" w:hAnsi="Arial" w:cs="Arial"/>
          <w:bCs/>
        </w:rPr>
        <w:t>Verstosses</w:t>
      </w:r>
      <w:proofErr w:type="spellEnd"/>
      <w:r w:rsidR="003168CA" w:rsidRPr="007836CB">
        <w:rPr>
          <w:rFonts w:ascii="Arial" w:hAnsi="Arial" w:cs="Arial"/>
          <w:bCs/>
        </w:rPr>
        <w:t xml:space="preserve"> gegen vorrangiges Recht </w:t>
      </w:r>
      <w:proofErr w:type="spellStart"/>
      <w:r w:rsidR="00574159">
        <w:rPr>
          <w:rFonts w:ascii="Arial" w:hAnsi="Arial" w:cs="Arial"/>
          <w:bCs/>
        </w:rPr>
        <w:t>gemäss</w:t>
      </w:r>
      <w:proofErr w:type="spellEnd"/>
      <w:r w:rsidR="00574159">
        <w:rPr>
          <w:rFonts w:ascii="Arial" w:hAnsi="Arial" w:cs="Arial"/>
          <w:bCs/>
        </w:rPr>
        <w:t xml:space="preserve"> der </w:t>
      </w:r>
      <w:r w:rsidR="00647892">
        <w:rPr>
          <w:rFonts w:ascii="Arial" w:hAnsi="Arial" w:cs="Arial"/>
          <w:bCs/>
        </w:rPr>
        <w:t xml:space="preserve">geltenden </w:t>
      </w:r>
      <w:r w:rsidR="00574159">
        <w:rPr>
          <w:rFonts w:ascii="Arial" w:hAnsi="Arial" w:cs="Arial"/>
          <w:bCs/>
        </w:rPr>
        <w:t>bundesgerichtlichen Rechtsprechung</w:t>
      </w:r>
      <w:r w:rsidR="003168CA" w:rsidRPr="007836CB">
        <w:rPr>
          <w:rFonts w:ascii="Arial" w:hAnsi="Arial" w:cs="Arial"/>
          <w:bCs/>
          <w:vertAlign w:val="superscript"/>
        </w:rPr>
        <w:footnoteReference w:id="45"/>
      </w:r>
      <w:r w:rsidR="00574159">
        <w:rPr>
          <w:rFonts w:ascii="Arial" w:hAnsi="Arial" w:cs="Arial"/>
          <w:bCs/>
        </w:rPr>
        <w:t xml:space="preserve"> </w:t>
      </w:r>
      <w:r w:rsidR="00574159" w:rsidRPr="007836CB">
        <w:rPr>
          <w:rFonts w:ascii="Arial" w:hAnsi="Arial" w:cs="Arial"/>
          <w:bCs/>
        </w:rPr>
        <w:t>nicht umgesetzt werden kann</w:t>
      </w:r>
      <w:r w:rsidR="003168CA" w:rsidRPr="007836CB">
        <w:rPr>
          <w:rFonts w:ascii="Arial" w:hAnsi="Arial" w:cs="Arial"/>
          <w:bCs/>
        </w:rPr>
        <w:t xml:space="preserve">. Dies würde nicht das Initiativrecht schwächen, weil die Stimmberechtigten bei einer Annahme mangels Umsetzbarkeit nur verschaukelt werden, vielmehr stärkte dies die echte </w:t>
      </w:r>
      <w:r w:rsidR="003168CA" w:rsidRPr="007836CB">
        <w:rPr>
          <w:rFonts w:ascii="Arial" w:hAnsi="Arial" w:cs="Arial"/>
          <w:bCs/>
        </w:rPr>
        <w:lastRenderedPageBreak/>
        <w:t xml:space="preserve">Demokratie, indem die Grund- und Menschenrechte so stets gewahrt blieben und zudem </w:t>
      </w:r>
      <w:r w:rsidR="009F580C">
        <w:rPr>
          <w:rFonts w:ascii="Arial" w:hAnsi="Arial" w:cs="Arial"/>
          <w:bCs/>
        </w:rPr>
        <w:t xml:space="preserve">auch </w:t>
      </w:r>
      <w:r w:rsidR="003168CA" w:rsidRPr="007836CB">
        <w:rPr>
          <w:rFonts w:ascii="Arial" w:hAnsi="Arial" w:cs="Arial"/>
          <w:bCs/>
        </w:rPr>
        <w:t xml:space="preserve">die im Rechtsstaat für dessen Glaubwürdigkeit wichtige </w:t>
      </w:r>
      <w:r w:rsidR="003168CA" w:rsidRPr="009F580C">
        <w:rPr>
          <w:rFonts w:ascii="Arial" w:hAnsi="Arial" w:cs="Arial"/>
          <w:bCs/>
          <w:i/>
        </w:rPr>
        <w:t>Kohärenz unserer Rechtsordnung</w:t>
      </w:r>
      <w:r w:rsidR="003168CA" w:rsidRPr="007836CB">
        <w:rPr>
          <w:rFonts w:ascii="Arial" w:hAnsi="Arial" w:cs="Arial"/>
          <w:bCs/>
        </w:rPr>
        <w:t xml:space="preserve"> gewährleistet wäre. Letzteres zumal wenn mit einer neu einzuführenden Beschwerdemöglichkeit gegen den Entscheid der Bundesversammlung über die Gültigkeit oder Ungültigkeit der Initiative an das Bundesgericht</w:t>
      </w:r>
      <w:r w:rsidR="003168CA" w:rsidRPr="007836CB">
        <w:rPr>
          <w:rFonts w:ascii="Arial" w:hAnsi="Arial" w:cs="Arial"/>
          <w:bCs/>
          <w:vertAlign w:val="superscript"/>
        </w:rPr>
        <w:footnoteReference w:id="46"/>
      </w:r>
      <w:r w:rsidR="003168CA" w:rsidRPr="007836CB">
        <w:rPr>
          <w:rFonts w:ascii="Arial" w:hAnsi="Arial" w:cs="Arial"/>
          <w:bCs/>
        </w:rPr>
        <w:t xml:space="preserve"> sichergestellt wäre, dass die gleiche Vorrangregel zur Ungültigkeit einer Initiative führt</w:t>
      </w:r>
      <w:r w:rsidR="003168CA">
        <w:rPr>
          <w:rFonts w:ascii="Arial" w:hAnsi="Arial" w:cs="Arial"/>
          <w:bCs/>
        </w:rPr>
        <w:t>,</w:t>
      </w:r>
      <w:r w:rsidR="003168CA" w:rsidRPr="007836CB">
        <w:rPr>
          <w:rFonts w:ascii="Arial" w:hAnsi="Arial" w:cs="Arial"/>
          <w:bCs/>
        </w:rPr>
        <w:t xml:space="preserve"> wie sie das Bundesgericht bei der Prüfung der Anwendbarkeit einer angenommen Initiativbestimmung zur Geltung bringt.</w:t>
      </w:r>
    </w:p>
    <w:p w14:paraId="2CCB5BDB" w14:textId="77777777" w:rsidR="00CD34C7" w:rsidRPr="00CD34C7" w:rsidRDefault="00CD34C7" w:rsidP="007836CB">
      <w:pPr>
        <w:widowControl w:val="0"/>
        <w:autoSpaceDE w:val="0"/>
        <w:autoSpaceDN w:val="0"/>
        <w:adjustRightInd w:val="0"/>
        <w:rPr>
          <w:rFonts w:ascii="Arial" w:hAnsi="Arial" w:cs="Arial"/>
          <w:bCs/>
        </w:rPr>
      </w:pPr>
    </w:p>
    <w:p w14:paraId="6A2DB677" w14:textId="2E42E98B" w:rsidR="007836CB" w:rsidRPr="00CD34C7" w:rsidRDefault="00CD34C7" w:rsidP="00CD34C7">
      <w:pPr>
        <w:pStyle w:val="Funotentext"/>
        <w:rPr>
          <w:lang w:val="de-CH"/>
        </w:rPr>
      </w:pPr>
      <w:proofErr w:type="spellStart"/>
      <w:r w:rsidRPr="00CD34C7">
        <w:rPr>
          <w:rFonts w:ascii="Arial" w:hAnsi="Arial" w:cs="Arial"/>
        </w:rPr>
        <w:t>Gemäss</w:t>
      </w:r>
      <w:proofErr w:type="spellEnd"/>
      <w:r w:rsidRPr="00CD34C7">
        <w:rPr>
          <w:rFonts w:ascii="Arial" w:hAnsi="Arial" w:cs="Arial"/>
        </w:rPr>
        <w:t xml:space="preserve"> </w:t>
      </w:r>
      <w:r w:rsidRPr="00CD34C7">
        <w:rPr>
          <w:rFonts w:ascii="Arial" w:hAnsi="Arial" w:cs="Arial"/>
          <w:lang w:val="de-CH"/>
        </w:rPr>
        <w:t>Art. 5 BV ist das Recht „Grundlage und Schranke staatlichen Handel</w:t>
      </w:r>
      <w:r w:rsidR="007416CC">
        <w:rPr>
          <w:rFonts w:ascii="Arial" w:hAnsi="Arial" w:cs="Arial"/>
          <w:lang w:val="de-CH"/>
        </w:rPr>
        <w:t>n</w:t>
      </w:r>
      <w:r w:rsidRPr="00CD34C7">
        <w:rPr>
          <w:rFonts w:ascii="Arial" w:hAnsi="Arial" w:cs="Arial"/>
          <w:lang w:val="de-CH"/>
        </w:rPr>
        <w:t>s“ und dessen Abs. 2 bestimmt: „</w:t>
      </w:r>
      <w:r w:rsidRPr="00CD34C7">
        <w:rPr>
          <w:rFonts w:ascii="Arial" w:hAnsi="Arial" w:cs="Arial"/>
          <w:color w:val="353535"/>
        </w:rPr>
        <w:t xml:space="preserve">Staatliches Handeln muss ... </w:t>
      </w:r>
      <w:proofErr w:type="spellStart"/>
      <w:r w:rsidRPr="00CD34C7">
        <w:rPr>
          <w:rFonts w:ascii="Arial" w:hAnsi="Arial" w:cs="Arial"/>
          <w:color w:val="353535"/>
        </w:rPr>
        <w:t>verhältnismässig</w:t>
      </w:r>
      <w:proofErr w:type="spellEnd"/>
      <w:r w:rsidRPr="00CD34C7">
        <w:rPr>
          <w:rFonts w:ascii="Arial" w:hAnsi="Arial" w:cs="Arial"/>
          <w:color w:val="353535"/>
        </w:rPr>
        <w:t xml:space="preserve"> sein</w:t>
      </w:r>
      <w:r>
        <w:rPr>
          <w:rFonts w:ascii="Arial" w:hAnsi="Arial" w:cs="Arial"/>
          <w:color w:val="353535"/>
        </w:rPr>
        <w:t xml:space="preserve">.“ In der Lehre wird </w:t>
      </w:r>
      <w:r w:rsidRPr="00CD34C7">
        <w:rPr>
          <w:rFonts w:ascii="Arial" w:hAnsi="Arial" w:cs="Arial"/>
          <w:color w:val="353535"/>
        </w:rPr>
        <w:t>mit überzeugenden Argumenten die Auffassung vertr</w:t>
      </w:r>
      <w:r>
        <w:rPr>
          <w:rFonts w:ascii="Arial" w:hAnsi="Arial" w:cs="Arial"/>
          <w:color w:val="353535"/>
        </w:rPr>
        <w:t xml:space="preserve">eten, das </w:t>
      </w:r>
      <w:proofErr w:type="spellStart"/>
      <w:r>
        <w:rPr>
          <w:rFonts w:ascii="Arial" w:hAnsi="Arial" w:cs="Arial"/>
          <w:color w:val="353535"/>
        </w:rPr>
        <w:t>Verhältnismässigkeitsp</w:t>
      </w:r>
      <w:r w:rsidRPr="00CD34C7">
        <w:rPr>
          <w:rFonts w:ascii="Arial" w:hAnsi="Arial" w:cs="Arial"/>
          <w:color w:val="353535"/>
        </w:rPr>
        <w:t>rinzip</w:t>
      </w:r>
      <w:proofErr w:type="spellEnd"/>
      <w:r w:rsidRPr="00CD34C7">
        <w:rPr>
          <w:rFonts w:ascii="Arial" w:hAnsi="Arial" w:cs="Arial"/>
          <w:color w:val="353535"/>
        </w:rPr>
        <w:t xml:space="preserve"> sei als Teil des </w:t>
      </w:r>
      <w:proofErr w:type="spellStart"/>
      <w:r w:rsidRPr="00CD34C7">
        <w:rPr>
          <w:rFonts w:ascii="Arial" w:hAnsi="Arial" w:cs="Arial"/>
          <w:color w:val="353535"/>
        </w:rPr>
        <w:t>ius</w:t>
      </w:r>
      <w:proofErr w:type="spellEnd"/>
      <w:r w:rsidRPr="00CD34C7">
        <w:rPr>
          <w:rFonts w:ascii="Arial" w:hAnsi="Arial" w:cs="Arial"/>
          <w:color w:val="353535"/>
        </w:rPr>
        <w:t xml:space="preserve"> </w:t>
      </w:r>
      <w:proofErr w:type="spellStart"/>
      <w:r w:rsidRPr="00CD34C7">
        <w:rPr>
          <w:rFonts w:ascii="Arial" w:hAnsi="Arial" w:cs="Arial"/>
          <w:color w:val="353535"/>
        </w:rPr>
        <w:t>cogens</w:t>
      </w:r>
      <w:proofErr w:type="spellEnd"/>
      <w:r w:rsidRPr="00CD34C7">
        <w:rPr>
          <w:rFonts w:ascii="Arial" w:hAnsi="Arial" w:cs="Arial"/>
          <w:color w:val="353535"/>
        </w:rPr>
        <w:t xml:space="preserve"> zu betrachten</w:t>
      </w:r>
      <w:r w:rsidRPr="00CD34C7">
        <w:rPr>
          <w:rStyle w:val="Funotenzeichen"/>
          <w:rFonts w:ascii="Arial" w:hAnsi="Arial" w:cs="Arial"/>
          <w:color w:val="353535"/>
        </w:rPr>
        <w:footnoteReference w:id="47"/>
      </w:r>
      <w:r w:rsidRPr="00CD34C7">
        <w:rPr>
          <w:rFonts w:ascii="Arial" w:hAnsi="Arial" w:cs="Arial"/>
          <w:color w:val="353535"/>
        </w:rPr>
        <w:t xml:space="preserve"> .</w:t>
      </w:r>
      <w:r>
        <w:rPr>
          <w:rFonts w:ascii="Arial" w:hAnsi="Arial" w:cs="Arial"/>
          <w:color w:val="353535"/>
        </w:rPr>
        <w:t xml:space="preserve"> </w:t>
      </w:r>
      <w:proofErr w:type="spellStart"/>
      <w:r>
        <w:rPr>
          <w:rFonts w:ascii="Arial" w:hAnsi="Arial" w:cs="Arial"/>
          <w:color w:val="353535"/>
        </w:rPr>
        <w:t>Ausserdem</w:t>
      </w:r>
      <w:proofErr w:type="spellEnd"/>
      <w:r>
        <w:rPr>
          <w:rFonts w:ascii="Arial" w:hAnsi="Arial" w:cs="Arial"/>
          <w:color w:val="353535"/>
        </w:rPr>
        <w:t xml:space="preserve"> müssen </w:t>
      </w:r>
      <w:r w:rsidR="007836CB" w:rsidRPr="007836CB">
        <w:rPr>
          <w:rFonts w:ascii="Arial" w:hAnsi="Arial" w:cs="Arial"/>
          <w:bCs/>
        </w:rPr>
        <w:t>Einschränkungen der Grundrechte nach Art. 36 BV stets vor allem a</w:t>
      </w:r>
      <w:r w:rsidR="007416CC">
        <w:rPr>
          <w:rFonts w:ascii="Arial" w:hAnsi="Arial" w:cs="Arial"/>
          <w:bCs/>
        </w:rPr>
        <w:t xml:space="preserve">uch </w:t>
      </w:r>
      <w:proofErr w:type="spellStart"/>
      <w:r w:rsidR="007416CC">
        <w:rPr>
          <w:rFonts w:ascii="Arial" w:hAnsi="Arial" w:cs="Arial"/>
          <w:bCs/>
        </w:rPr>
        <w:t>verhältnismässig</w:t>
      </w:r>
      <w:proofErr w:type="spellEnd"/>
      <w:r w:rsidR="007416CC">
        <w:rPr>
          <w:rFonts w:ascii="Arial" w:hAnsi="Arial" w:cs="Arial"/>
          <w:bCs/>
        </w:rPr>
        <w:t xml:space="preserve"> sein. Das Recht als Grundlage des Staates und der Grundrechtsschutz würde</w:t>
      </w:r>
      <w:r w:rsidR="007836CB" w:rsidRPr="007836CB">
        <w:rPr>
          <w:rFonts w:ascii="Arial" w:hAnsi="Arial" w:cs="Arial"/>
          <w:bCs/>
        </w:rPr>
        <w:t xml:space="preserve"> obs</w:t>
      </w:r>
      <w:r w:rsidR="007416CC">
        <w:rPr>
          <w:rFonts w:ascii="Arial" w:hAnsi="Arial" w:cs="Arial"/>
          <w:bCs/>
        </w:rPr>
        <w:t>olet, wenn diese den Rechtsstaatc</w:t>
      </w:r>
      <w:r w:rsidR="007836CB" w:rsidRPr="007836CB">
        <w:rPr>
          <w:rFonts w:ascii="Arial" w:hAnsi="Arial" w:cs="Arial"/>
          <w:bCs/>
        </w:rPr>
        <w:t xml:space="preserve">harakter </w:t>
      </w:r>
      <w:r w:rsidR="007416CC">
        <w:rPr>
          <w:rFonts w:ascii="Arial" w:hAnsi="Arial" w:cs="Arial"/>
          <w:bCs/>
        </w:rPr>
        <w:t xml:space="preserve">und die hervorragende Bedeutung </w:t>
      </w:r>
      <w:r w:rsidR="007836CB" w:rsidRPr="007836CB">
        <w:rPr>
          <w:rFonts w:ascii="Arial" w:hAnsi="Arial" w:cs="Arial"/>
          <w:bCs/>
        </w:rPr>
        <w:t>der Grundrechte begründende</w:t>
      </w:r>
      <w:r w:rsidR="007416CC">
        <w:rPr>
          <w:rFonts w:ascii="Arial" w:hAnsi="Arial" w:cs="Arial"/>
          <w:bCs/>
        </w:rPr>
        <w:t>n</w:t>
      </w:r>
      <w:r w:rsidR="007836CB" w:rsidRPr="007836CB">
        <w:rPr>
          <w:rFonts w:ascii="Arial" w:hAnsi="Arial" w:cs="Arial"/>
          <w:bCs/>
        </w:rPr>
        <w:t xml:space="preserve"> Bestimmung</w:t>
      </w:r>
      <w:r w:rsidR="007416CC">
        <w:rPr>
          <w:rFonts w:ascii="Arial" w:hAnsi="Arial" w:cs="Arial"/>
          <w:bCs/>
        </w:rPr>
        <w:t>en</w:t>
      </w:r>
      <w:r w:rsidR="007836CB" w:rsidRPr="007836CB">
        <w:rPr>
          <w:rFonts w:ascii="Arial" w:hAnsi="Arial" w:cs="Arial"/>
          <w:bCs/>
        </w:rPr>
        <w:t xml:space="preserve"> nicht auch im Falle einer partikularen Bestimmung der Verfassung gelten würde</w:t>
      </w:r>
      <w:r w:rsidR="00FC46C5">
        <w:rPr>
          <w:rFonts w:ascii="Arial" w:hAnsi="Arial" w:cs="Arial"/>
          <w:bCs/>
        </w:rPr>
        <w:t>n</w:t>
      </w:r>
      <w:r w:rsidR="007836CB" w:rsidRPr="007836CB">
        <w:rPr>
          <w:rFonts w:ascii="Arial" w:hAnsi="Arial" w:cs="Arial"/>
          <w:bCs/>
        </w:rPr>
        <w:t>, sei diese nun auf dem Wege der Gesetzgebung oder einer Volksinitiative in die Bundesverfassung aufgenommen worden</w:t>
      </w:r>
      <w:r w:rsidR="00647892">
        <w:rPr>
          <w:rFonts w:ascii="Arial" w:hAnsi="Arial" w:cs="Arial"/>
          <w:bCs/>
        </w:rPr>
        <w:t>, wie das Bundesgericht nun auch wegweisend</w:t>
      </w:r>
      <w:r w:rsidR="009F580C">
        <w:rPr>
          <w:rFonts w:ascii="Arial" w:hAnsi="Arial" w:cs="Arial"/>
          <w:bCs/>
        </w:rPr>
        <w:t xml:space="preserve"> entschieden hat</w:t>
      </w:r>
      <w:r w:rsidR="007836CB" w:rsidRPr="007836CB">
        <w:rPr>
          <w:rFonts w:ascii="Arial" w:hAnsi="Arial" w:cs="Arial"/>
          <w:bCs/>
        </w:rPr>
        <w:t>. Die Lehre</w:t>
      </w:r>
      <w:r w:rsidR="007416CC">
        <w:rPr>
          <w:rFonts w:ascii="Arial" w:hAnsi="Arial" w:cs="Arial"/>
          <w:bCs/>
        </w:rPr>
        <w:t>, die sich weitgehend noch davor scheut,</w:t>
      </w:r>
      <w:r w:rsidR="007836CB" w:rsidRPr="007836CB">
        <w:rPr>
          <w:rFonts w:ascii="Arial" w:hAnsi="Arial" w:cs="Arial"/>
          <w:bCs/>
        </w:rPr>
        <w:t xml:space="preserve"> wird nicht darum herumkommen, eine Hierarchie unter den Normen der Bundesverfassung anzuerkennen und Kriterien dazu zu entwickeln; Anhaltspunkte dafür lassen sich u.a. gerade aus Art. 36 BV ableiten und ebenso aus der eingangs angeführten notwendigen Abgrenzung zwischen Total- und Teilrevision der Bundesverfassung.</w:t>
      </w:r>
    </w:p>
    <w:p w14:paraId="76BDE57E" w14:textId="77777777" w:rsidR="007836CB" w:rsidRPr="007836CB" w:rsidRDefault="007836CB" w:rsidP="007836CB">
      <w:pPr>
        <w:widowControl w:val="0"/>
        <w:autoSpaceDE w:val="0"/>
        <w:autoSpaceDN w:val="0"/>
        <w:adjustRightInd w:val="0"/>
        <w:rPr>
          <w:rFonts w:ascii="Arial" w:hAnsi="Arial" w:cs="Arial"/>
          <w:bCs/>
        </w:rPr>
      </w:pPr>
    </w:p>
    <w:p w14:paraId="6E1A130C" w14:textId="3A003305" w:rsidR="007836CB" w:rsidRPr="007836CB" w:rsidRDefault="007836CB" w:rsidP="007836CB">
      <w:pPr>
        <w:widowControl w:val="0"/>
        <w:autoSpaceDE w:val="0"/>
        <w:autoSpaceDN w:val="0"/>
        <w:adjustRightInd w:val="0"/>
        <w:rPr>
          <w:rFonts w:ascii="Arial" w:hAnsi="Arial" w:cs="Arial"/>
          <w:bCs/>
        </w:rPr>
      </w:pPr>
      <w:r w:rsidRPr="007836CB">
        <w:rPr>
          <w:rFonts w:ascii="Arial" w:hAnsi="Arial" w:cs="Arial"/>
          <w:bCs/>
        </w:rPr>
        <w:t xml:space="preserve">Die Wahrung der politischen Rechte und damit gerade auch des Initiativrechts erheischt daher eine Erweiterung der Ungültigkeitsgründe </w:t>
      </w:r>
      <w:r w:rsidR="00EC2366">
        <w:rPr>
          <w:rFonts w:ascii="Arial" w:hAnsi="Arial" w:cs="Arial"/>
          <w:bCs/>
        </w:rPr>
        <w:t xml:space="preserve">auch über das weit verstandene „zwingende </w:t>
      </w:r>
      <w:proofErr w:type="spellStart"/>
      <w:r w:rsidR="00EC2366">
        <w:rPr>
          <w:rFonts w:ascii="Arial" w:hAnsi="Arial" w:cs="Arial"/>
          <w:bCs/>
        </w:rPr>
        <w:t>Völkrrech</w:t>
      </w:r>
      <w:proofErr w:type="spellEnd"/>
      <w:r w:rsidR="00EC2366">
        <w:rPr>
          <w:rFonts w:ascii="Arial" w:hAnsi="Arial" w:cs="Arial"/>
          <w:bCs/>
        </w:rPr>
        <w:t xml:space="preserve">“ sowohl auf die </w:t>
      </w:r>
      <w:proofErr w:type="spellStart"/>
      <w:r w:rsidR="00EC2366">
        <w:rPr>
          <w:rFonts w:ascii="Arial" w:hAnsi="Arial" w:cs="Arial"/>
          <w:bCs/>
        </w:rPr>
        <w:t>ratifizerten</w:t>
      </w:r>
      <w:proofErr w:type="spellEnd"/>
      <w:r w:rsidR="007416CC">
        <w:rPr>
          <w:rFonts w:ascii="Arial" w:hAnsi="Arial" w:cs="Arial"/>
          <w:bCs/>
        </w:rPr>
        <w:t xml:space="preserve"> völkerrechtlichen Menschenrechtsgarantien </w:t>
      </w:r>
      <w:r w:rsidR="00EC2366">
        <w:rPr>
          <w:rFonts w:ascii="Arial" w:hAnsi="Arial" w:cs="Arial"/>
          <w:bCs/>
        </w:rPr>
        <w:t xml:space="preserve">als auch </w:t>
      </w:r>
      <w:r w:rsidR="007416CC">
        <w:rPr>
          <w:rFonts w:ascii="Arial" w:hAnsi="Arial" w:cs="Arial"/>
          <w:bCs/>
        </w:rPr>
        <w:t xml:space="preserve">auf die </w:t>
      </w:r>
      <w:proofErr w:type="spellStart"/>
      <w:r w:rsidR="00EC2366">
        <w:rPr>
          <w:rFonts w:ascii="Arial" w:hAnsi="Arial" w:cs="Arial"/>
          <w:bCs/>
        </w:rPr>
        <w:t>verfassungsmässigen</w:t>
      </w:r>
      <w:proofErr w:type="spellEnd"/>
      <w:r w:rsidR="00EC2366">
        <w:rPr>
          <w:rFonts w:ascii="Arial" w:hAnsi="Arial" w:cs="Arial"/>
          <w:bCs/>
        </w:rPr>
        <w:t xml:space="preserve"> </w:t>
      </w:r>
      <w:r w:rsidR="007416CC">
        <w:rPr>
          <w:rFonts w:ascii="Arial" w:hAnsi="Arial" w:cs="Arial"/>
          <w:bCs/>
        </w:rPr>
        <w:t>Grundrecht</w:t>
      </w:r>
      <w:r w:rsidR="005521DA">
        <w:rPr>
          <w:rFonts w:ascii="Arial" w:hAnsi="Arial" w:cs="Arial"/>
          <w:bCs/>
        </w:rPr>
        <w:t>e</w:t>
      </w:r>
      <w:r w:rsidR="007416CC">
        <w:rPr>
          <w:rFonts w:ascii="Arial" w:hAnsi="Arial" w:cs="Arial"/>
          <w:bCs/>
        </w:rPr>
        <w:t xml:space="preserve"> u</w:t>
      </w:r>
      <w:r w:rsidR="005521DA">
        <w:rPr>
          <w:rFonts w:ascii="Arial" w:hAnsi="Arial" w:cs="Arial"/>
          <w:bCs/>
        </w:rPr>
        <w:t>nd die Grundlagen des Rechtsstaates.</w:t>
      </w:r>
      <w:r w:rsidRPr="007836CB">
        <w:rPr>
          <w:rFonts w:ascii="Arial" w:hAnsi="Arial" w:cs="Arial"/>
          <w:bCs/>
        </w:rPr>
        <w:t xml:space="preserve"> Das Initiativrecht wird, wenn eine Volksinitiative wegen Verletzung von Grund- und Menschenrechten und </w:t>
      </w:r>
      <w:proofErr w:type="spellStart"/>
      <w:r w:rsidRPr="007836CB">
        <w:rPr>
          <w:rFonts w:ascii="Arial" w:hAnsi="Arial" w:cs="Arial"/>
          <w:bCs/>
        </w:rPr>
        <w:t>Verstosses</w:t>
      </w:r>
      <w:proofErr w:type="spellEnd"/>
      <w:r w:rsidRPr="007836CB">
        <w:rPr>
          <w:rFonts w:ascii="Arial" w:hAnsi="Arial" w:cs="Arial"/>
          <w:bCs/>
        </w:rPr>
        <w:t xml:space="preserve"> gegen die Grundlagen des Rechtsstaates nicht zur Abstimmung gelangen kann, wie dargelegt, erst gewahrt und keineswegs in unzulässiger Weise eingeschränkt. </w:t>
      </w:r>
    </w:p>
    <w:p w14:paraId="7959B25C" w14:textId="77777777" w:rsidR="007836CB" w:rsidRPr="007836CB" w:rsidRDefault="007836CB" w:rsidP="007836CB">
      <w:pPr>
        <w:widowControl w:val="0"/>
        <w:autoSpaceDE w:val="0"/>
        <w:autoSpaceDN w:val="0"/>
        <w:adjustRightInd w:val="0"/>
        <w:rPr>
          <w:rFonts w:ascii="Arial" w:hAnsi="Arial" w:cs="Arial"/>
          <w:bCs/>
        </w:rPr>
      </w:pPr>
    </w:p>
    <w:p w14:paraId="3AE01AA2" w14:textId="6B75F9F8" w:rsidR="007836CB" w:rsidRPr="00EC2366" w:rsidRDefault="00D866A2" w:rsidP="007836CB">
      <w:pPr>
        <w:widowControl w:val="0"/>
        <w:autoSpaceDE w:val="0"/>
        <w:autoSpaceDN w:val="0"/>
        <w:adjustRightInd w:val="0"/>
        <w:rPr>
          <w:rFonts w:ascii="Arial" w:hAnsi="Arial" w:cs="Arial"/>
          <w:b/>
          <w:bCs/>
        </w:rPr>
      </w:pPr>
      <w:r>
        <w:rPr>
          <w:rFonts w:ascii="Arial" w:hAnsi="Arial" w:cs="Arial"/>
          <w:b/>
          <w:bCs/>
        </w:rPr>
        <w:t>6</w:t>
      </w:r>
      <w:r w:rsidR="00C10825" w:rsidRPr="00C10825">
        <w:rPr>
          <w:rFonts w:ascii="Arial" w:hAnsi="Arial" w:cs="Arial"/>
          <w:b/>
          <w:bCs/>
        </w:rPr>
        <w:t>.</w:t>
      </w:r>
      <w:r w:rsidR="007836CB" w:rsidRPr="00C10825">
        <w:rPr>
          <w:rFonts w:ascii="Arial" w:hAnsi="Arial" w:cs="Arial"/>
          <w:b/>
          <w:bCs/>
        </w:rPr>
        <w:t>5. Einsc</w:t>
      </w:r>
      <w:r w:rsidR="00C10825" w:rsidRPr="00C10825">
        <w:rPr>
          <w:rFonts w:ascii="Arial" w:hAnsi="Arial" w:cs="Arial"/>
          <w:b/>
          <w:bCs/>
        </w:rPr>
        <w:t xml:space="preserve">hränkung der </w:t>
      </w:r>
      <w:proofErr w:type="spellStart"/>
      <w:r w:rsidR="00C10825" w:rsidRPr="00C10825">
        <w:rPr>
          <w:rFonts w:ascii="Arial" w:hAnsi="Arial" w:cs="Arial"/>
          <w:b/>
          <w:bCs/>
        </w:rPr>
        <w:t>Ungültigerklärung</w:t>
      </w:r>
      <w:proofErr w:type="spellEnd"/>
      <w:r w:rsidR="00C10825" w:rsidRPr="00C10825">
        <w:rPr>
          <w:rFonts w:ascii="Arial" w:hAnsi="Arial" w:cs="Arial"/>
          <w:b/>
          <w:bCs/>
        </w:rPr>
        <w:t xml:space="preserve"> </w:t>
      </w:r>
      <w:r w:rsidR="007836CB" w:rsidRPr="00C10825">
        <w:rPr>
          <w:rFonts w:ascii="Arial" w:hAnsi="Arial" w:cs="Arial"/>
          <w:b/>
          <w:bCs/>
        </w:rPr>
        <w:t>auf</w:t>
      </w:r>
      <w:r w:rsidR="00C10825" w:rsidRPr="00C10825">
        <w:rPr>
          <w:rFonts w:ascii="Arial" w:hAnsi="Arial" w:cs="Arial"/>
          <w:b/>
          <w:bCs/>
        </w:rPr>
        <w:t xml:space="preserve"> da</w:t>
      </w:r>
      <w:r w:rsidR="007836CB" w:rsidRPr="00C10825">
        <w:rPr>
          <w:rFonts w:ascii="Arial" w:hAnsi="Arial" w:cs="Arial"/>
          <w:b/>
          <w:bCs/>
        </w:rPr>
        <w:t xml:space="preserve">s Notwendigste zur Wahrung der politischen Rechte </w:t>
      </w:r>
    </w:p>
    <w:p w14:paraId="426A83EE" w14:textId="59E4C679" w:rsidR="007836CB" w:rsidRPr="007836CB" w:rsidRDefault="007836CB" w:rsidP="007836CB">
      <w:pPr>
        <w:widowControl w:val="0"/>
        <w:autoSpaceDE w:val="0"/>
        <w:autoSpaceDN w:val="0"/>
        <w:adjustRightInd w:val="0"/>
        <w:rPr>
          <w:rFonts w:ascii="Arial" w:hAnsi="Arial" w:cs="Arial"/>
          <w:bCs/>
        </w:rPr>
      </w:pPr>
      <w:r w:rsidRPr="007836CB">
        <w:rPr>
          <w:rFonts w:ascii="Arial" w:hAnsi="Arial" w:cs="Arial"/>
          <w:bCs/>
        </w:rPr>
        <w:t>Die Verbindung des Kriteriums der Umsetzbarkeit</w:t>
      </w:r>
      <w:r w:rsidR="005521DA">
        <w:rPr>
          <w:rFonts w:ascii="Arial" w:hAnsi="Arial" w:cs="Arial"/>
          <w:bCs/>
        </w:rPr>
        <w:t xml:space="preserve">, </w:t>
      </w:r>
      <w:r w:rsidRPr="007836CB">
        <w:rPr>
          <w:rFonts w:ascii="Arial" w:hAnsi="Arial" w:cs="Arial"/>
          <w:bCs/>
        </w:rPr>
        <w:t>als das aus der Garantie der politischen Rechts folgende Erfordernis</w:t>
      </w:r>
      <w:r w:rsidR="005521DA">
        <w:rPr>
          <w:rFonts w:ascii="Arial" w:hAnsi="Arial" w:cs="Arial"/>
          <w:bCs/>
        </w:rPr>
        <w:t>,</w:t>
      </w:r>
      <w:r w:rsidRPr="007836CB">
        <w:rPr>
          <w:rFonts w:ascii="Arial" w:hAnsi="Arial" w:cs="Arial"/>
          <w:bCs/>
        </w:rPr>
        <w:t xml:space="preserve"> mit den erweiterten Ungültigkeitsgründen, wie sie vorgeschlagen werden, sorgt</w:t>
      </w:r>
      <w:r w:rsidR="005521DA">
        <w:rPr>
          <w:rFonts w:ascii="Arial" w:hAnsi="Arial" w:cs="Arial"/>
          <w:bCs/>
        </w:rPr>
        <w:t>e</w:t>
      </w:r>
      <w:r w:rsidRPr="007836CB">
        <w:rPr>
          <w:rFonts w:ascii="Arial" w:hAnsi="Arial" w:cs="Arial"/>
          <w:bCs/>
        </w:rPr>
        <w:t xml:space="preserve"> dafür, dass die Anwendbarkeit von deren zugegeben eher weiten Fassung auf das zum Schutz der unverfälschten Stimmabgabe Notwendigste doch eingeschränkt bleibt. Eine Initiative muss </w:t>
      </w:r>
      <w:r w:rsidRPr="007836CB">
        <w:rPr>
          <w:rFonts w:ascii="Arial" w:hAnsi="Arial" w:cs="Arial"/>
          <w:bCs/>
          <w:i/>
        </w:rPr>
        <w:t xml:space="preserve">offensichtlich </w:t>
      </w:r>
      <w:r w:rsidRPr="007836CB">
        <w:rPr>
          <w:rFonts w:ascii="Arial" w:hAnsi="Arial" w:cs="Arial"/>
          <w:bCs/>
        </w:rPr>
        <w:t xml:space="preserve">rechtlich nicht umsetzbar sein, damit sie zum Schutz der politischen Rechte ungültig erklärt werden kann. Dabei ist die Möglichkeit der menschenrechts- und verfassungskonformen Auslegung auszuschöpfen, wie dies das Bundesgericht auch im Anwendungsfall </w:t>
      </w:r>
      <w:r w:rsidR="0078358D">
        <w:rPr>
          <w:rFonts w:ascii="Arial" w:hAnsi="Arial" w:cs="Arial"/>
          <w:bCs/>
        </w:rPr>
        <w:t xml:space="preserve">einer angenommenen Initiative </w:t>
      </w:r>
      <w:r w:rsidRPr="007836CB">
        <w:rPr>
          <w:rFonts w:ascii="Arial" w:hAnsi="Arial" w:cs="Arial"/>
          <w:bCs/>
        </w:rPr>
        <w:t xml:space="preserve">tut. Erfolgt eine solche Prüfung einer Volksinitiative in diesem Sinn eingehend bevor sie einer Abstimmung unterbreitet wird, trägt deren Resultat </w:t>
      </w:r>
      <w:r w:rsidR="0078358D">
        <w:rPr>
          <w:rFonts w:ascii="Arial" w:hAnsi="Arial" w:cs="Arial"/>
          <w:bCs/>
        </w:rPr>
        <w:t>überdies auch</w:t>
      </w:r>
      <w:r w:rsidR="005521DA">
        <w:rPr>
          <w:rFonts w:ascii="Arial" w:hAnsi="Arial" w:cs="Arial"/>
          <w:bCs/>
        </w:rPr>
        <w:t xml:space="preserve"> </w:t>
      </w:r>
      <w:r w:rsidRPr="007836CB">
        <w:rPr>
          <w:rFonts w:ascii="Arial" w:hAnsi="Arial" w:cs="Arial"/>
          <w:bCs/>
        </w:rPr>
        <w:t xml:space="preserve">bei einer </w:t>
      </w:r>
      <w:proofErr w:type="spellStart"/>
      <w:r w:rsidRPr="007836CB">
        <w:rPr>
          <w:rFonts w:ascii="Arial" w:hAnsi="Arial" w:cs="Arial"/>
          <w:bCs/>
        </w:rPr>
        <w:t>Gültigerklärung</w:t>
      </w:r>
      <w:proofErr w:type="spellEnd"/>
      <w:r w:rsidRPr="007836CB">
        <w:rPr>
          <w:rFonts w:ascii="Arial" w:hAnsi="Arial" w:cs="Arial"/>
          <w:bCs/>
        </w:rPr>
        <w:t xml:space="preserve"> </w:t>
      </w:r>
      <w:r w:rsidRPr="007836CB">
        <w:rPr>
          <w:rFonts w:ascii="Arial" w:hAnsi="Arial" w:cs="Arial"/>
          <w:bCs/>
        </w:rPr>
        <w:lastRenderedPageBreak/>
        <w:t>wesentlich dazu bei, deren allein umsetzbaren und damit wahren Gehalt zu klären und so eine einwandfreie Willensbildung der Stimmberechtigten zu gewährleisten.</w:t>
      </w:r>
    </w:p>
    <w:p w14:paraId="0B5426EB" w14:textId="77777777" w:rsidR="007836CB" w:rsidRPr="007836CB" w:rsidRDefault="007836CB" w:rsidP="007836CB">
      <w:pPr>
        <w:widowControl w:val="0"/>
        <w:autoSpaceDE w:val="0"/>
        <w:autoSpaceDN w:val="0"/>
        <w:adjustRightInd w:val="0"/>
        <w:rPr>
          <w:rFonts w:ascii="Arial" w:hAnsi="Arial" w:cs="Arial"/>
          <w:bCs/>
        </w:rPr>
      </w:pPr>
    </w:p>
    <w:p w14:paraId="771AF261" w14:textId="2803951C" w:rsidR="007836CB" w:rsidRPr="00EC2366" w:rsidRDefault="00D866A2" w:rsidP="007836CB">
      <w:pPr>
        <w:widowControl w:val="0"/>
        <w:autoSpaceDE w:val="0"/>
        <w:autoSpaceDN w:val="0"/>
        <w:adjustRightInd w:val="0"/>
        <w:rPr>
          <w:rFonts w:ascii="Arial" w:hAnsi="Arial" w:cs="Arial"/>
          <w:b/>
          <w:bCs/>
        </w:rPr>
      </w:pPr>
      <w:r>
        <w:rPr>
          <w:rFonts w:ascii="Arial" w:hAnsi="Arial" w:cs="Arial"/>
          <w:b/>
          <w:bCs/>
        </w:rPr>
        <w:t>6</w:t>
      </w:r>
      <w:r w:rsidR="00C10825" w:rsidRPr="00C10825">
        <w:rPr>
          <w:rFonts w:ascii="Arial" w:hAnsi="Arial" w:cs="Arial"/>
          <w:b/>
          <w:bCs/>
        </w:rPr>
        <w:t>.</w:t>
      </w:r>
      <w:r w:rsidR="007836CB" w:rsidRPr="00C10825">
        <w:rPr>
          <w:rFonts w:ascii="Arial" w:hAnsi="Arial" w:cs="Arial"/>
          <w:b/>
          <w:bCs/>
        </w:rPr>
        <w:t>6. Vorläufige materielle Vorprüfung durch die B</w:t>
      </w:r>
      <w:r w:rsidR="00D65EE8">
        <w:rPr>
          <w:rFonts w:ascii="Arial" w:hAnsi="Arial" w:cs="Arial"/>
          <w:b/>
          <w:bCs/>
        </w:rPr>
        <w:t>undeskanzlei</w:t>
      </w:r>
    </w:p>
    <w:p w14:paraId="5FD17B88" w14:textId="46571A31" w:rsidR="007836CB" w:rsidRPr="007836CB" w:rsidRDefault="00D65EE8" w:rsidP="007836CB">
      <w:pPr>
        <w:widowControl w:val="0"/>
        <w:autoSpaceDE w:val="0"/>
        <w:autoSpaceDN w:val="0"/>
        <w:adjustRightInd w:val="0"/>
        <w:rPr>
          <w:rFonts w:ascii="Arial" w:hAnsi="Arial" w:cs="Arial"/>
          <w:bCs/>
        </w:rPr>
      </w:pPr>
      <w:r>
        <w:rPr>
          <w:rFonts w:ascii="Arial" w:hAnsi="Arial" w:cs="Arial"/>
          <w:bCs/>
        </w:rPr>
        <w:t>E</w:t>
      </w:r>
      <w:r w:rsidR="007836CB" w:rsidRPr="007836CB">
        <w:rPr>
          <w:rFonts w:ascii="Arial" w:hAnsi="Arial" w:cs="Arial"/>
          <w:bCs/>
        </w:rPr>
        <w:t xml:space="preserve">ine vorläufige summarische Prüfung </w:t>
      </w:r>
      <w:r>
        <w:rPr>
          <w:rFonts w:ascii="Arial" w:hAnsi="Arial" w:cs="Arial"/>
          <w:bCs/>
        </w:rPr>
        <w:t xml:space="preserve">der Gültigkeit einer Initiative </w:t>
      </w:r>
      <w:r w:rsidR="007836CB" w:rsidRPr="007836CB">
        <w:rPr>
          <w:rFonts w:ascii="Arial" w:hAnsi="Arial" w:cs="Arial"/>
          <w:bCs/>
        </w:rPr>
        <w:t>auch in materieller Hinsicht durch die B</w:t>
      </w:r>
      <w:r>
        <w:rPr>
          <w:rFonts w:ascii="Arial" w:hAnsi="Arial" w:cs="Arial"/>
          <w:bCs/>
        </w:rPr>
        <w:t xml:space="preserve">undeskanzlei, </w:t>
      </w:r>
      <w:r w:rsidR="007836CB" w:rsidRPr="007836CB">
        <w:rPr>
          <w:rFonts w:ascii="Arial" w:hAnsi="Arial" w:cs="Arial"/>
          <w:bCs/>
        </w:rPr>
        <w:t>die bereits heute eine formelle Prüfung vornimmt</w:t>
      </w:r>
      <w:r>
        <w:rPr>
          <w:rFonts w:ascii="Arial" w:hAnsi="Arial" w:cs="Arial"/>
          <w:bCs/>
        </w:rPr>
        <w:t>, - wie sie nun a</w:t>
      </w:r>
      <w:r w:rsidR="005521DA">
        <w:rPr>
          <w:rFonts w:ascii="Arial" w:hAnsi="Arial" w:cs="Arial"/>
          <w:bCs/>
        </w:rPr>
        <w:t xml:space="preserve">uch die SPK-SR allerdings nur </w:t>
      </w:r>
      <w:r>
        <w:rPr>
          <w:rFonts w:ascii="Arial" w:hAnsi="Arial" w:cs="Arial"/>
          <w:bCs/>
        </w:rPr>
        <w:t xml:space="preserve">fakultativ - vorschlägt, ist zu </w:t>
      </w:r>
      <w:proofErr w:type="spellStart"/>
      <w:r>
        <w:rPr>
          <w:rFonts w:ascii="Arial" w:hAnsi="Arial" w:cs="Arial"/>
          <w:bCs/>
        </w:rPr>
        <w:t>begrüssen</w:t>
      </w:r>
      <w:proofErr w:type="spellEnd"/>
      <w:r>
        <w:rPr>
          <w:rFonts w:ascii="Arial" w:hAnsi="Arial" w:cs="Arial"/>
          <w:bCs/>
        </w:rPr>
        <w:t xml:space="preserve">. Sie wäre </w:t>
      </w:r>
      <w:r w:rsidRPr="007836CB">
        <w:rPr>
          <w:rFonts w:ascii="Arial" w:hAnsi="Arial" w:cs="Arial"/>
          <w:bCs/>
        </w:rPr>
        <w:t>angesichts der erweiterten Ungültigkeitsgründe</w:t>
      </w:r>
      <w:r>
        <w:rPr>
          <w:rFonts w:ascii="Arial" w:hAnsi="Arial" w:cs="Arial"/>
          <w:bCs/>
        </w:rPr>
        <w:t xml:space="preserve"> umso wichtiger und nicht dem Gutdünken des Initiativkomitees zu überlassen</w:t>
      </w:r>
      <w:r w:rsidR="00644C8F">
        <w:rPr>
          <w:rFonts w:ascii="Arial" w:hAnsi="Arial" w:cs="Arial"/>
          <w:bCs/>
        </w:rPr>
        <w:t>, denn eine unverfälschte</w:t>
      </w:r>
      <w:r>
        <w:rPr>
          <w:rFonts w:ascii="Arial" w:hAnsi="Arial" w:cs="Arial"/>
          <w:bCs/>
        </w:rPr>
        <w:t xml:space="preserve"> Willen</w:t>
      </w:r>
      <w:r w:rsidR="00644C8F">
        <w:rPr>
          <w:rFonts w:ascii="Arial" w:hAnsi="Arial" w:cs="Arial"/>
          <w:bCs/>
        </w:rPr>
        <w:t>s</w:t>
      </w:r>
      <w:r>
        <w:rPr>
          <w:rFonts w:ascii="Arial" w:hAnsi="Arial" w:cs="Arial"/>
          <w:bCs/>
        </w:rPr>
        <w:t xml:space="preserve">bildung auch der Unterzeichner einer Initiative ist von Amtes </w:t>
      </w:r>
      <w:r w:rsidR="00644C8F">
        <w:rPr>
          <w:rFonts w:ascii="Arial" w:hAnsi="Arial" w:cs="Arial"/>
          <w:bCs/>
        </w:rPr>
        <w:t>wegen zu gewährleisten</w:t>
      </w:r>
      <w:r w:rsidR="007836CB" w:rsidRPr="007836CB">
        <w:rPr>
          <w:rFonts w:ascii="Arial" w:hAnsi="Arial" w:cs="Arial"/>
          <w:bCs/>
        </w:rPr>
        <w:t>. Ein negatives Ergebnis oder ernstliche Bedenken müssten summarisch begründet d</w:t>
      </w:r>
      <w:r>
        <w:rPr>
          <w:rFonts w:ascii="Arial" w:hAnsi="Arial" w:cs="Arial"/>
          <w:bCs/>
        </w:rPr>
        <w:t>i</w:t>
      </w:r>
      <w:r w:rsidR="007836CB" w:rsidRPr="007836CB">
        <w:rPr>
          <w:rFonts w:ascii="Arial" w:hAnsi="Arial" w:cs="Arial"/>
          <w:bCs/>
        </w:rPr>
        <w:t>e</w:t>
      </w:r>
      <w:r>
        <w:rPr>
          <w:rFonts w:ascii="Arial" w:hAnsi="Arial" w:cs="Arial"/>
          <w:bCs/>
        </w:rPr>
        <w:t xml:space="preserve">sem </w:t>
      </w:r>
      <w:r w:rsidR="007836CB" w:rsidRPr="007836CB">
        <w:rPr>
          <w:rFonts w:ascii="Arial" w:hAnsi="Arial" w:cs="Arial"/>
          <w:bCs/>
        </w:rPr>
        <w:t xml:space="preserve">vor dem Beginn der Unterschriftensammlung zur Kenntnis gebracht werden und auf den Unterschriftenbogen vermerkt sein. Lässt das die Initianten und Unterzeichner unbeeindruckt, bestünden </w:t>
      </w:r>
      <w:proofErr w:type="spellStart"/>
      <w:proofErr w:type="gramStart"/>
      <w:r w:rsidR="007836CB" w:rsidRPr="007836CB">
        <w:rPr>
          <w:rFonts w:ascii="Arial" w:hAnsi="Arial" w:cs="Arial"/>
          <w:bCs/>
        </w:rPr>
        <w:t>um so</w:t>
      </w:r>
      <w:proofErr w:type="spellEnd"/>
      <w:proofErr w:type="gramEnd"/>
      <w:r w:rsidR="007836CB" w:rsidRPr="007836CB">
        <w:rPr>
          <w:rFonts w:ascii="Arial" w:hAnsi="Arial" w:cs="Arial"/>
          <w:bCs/>
        </w:rPr>
        <w:t xml:space="preserve"> weniger demokratische Hemmungen, die Initiative gegebenenfalls ungültig zu erklären.</w:t>
      </w:r>
    </w:p>
    <w:p w14:paraId="027CF9D6" w14:textId="77777777" w:rsidR="007836CB" w:rsidRPr="007836CB" w:rsidRDefault="007836CB" w:rsidP="007836CB">
      <w:pPr>
        <w:widowControl w:val="0"/>
        <w:autoSpaceDE w:val="0"/>
        <w:autoSpaceDN w:val="0"/>
        <w:adjustRightInd w:val="0"/>
        <w:rPr>
          <w:rFonts w:ascii="Arial" w:hAnsi="Arial" w:cs="Arial"/>
          <w:bCs/>
        </w:rPr>
      </w:pPr>
    </w:p>
    <w:p w14:paraId="1C10049A" w14:textId="2C7C09F2" w:rsidR="007836CB" w:rsidRPr="00EC2366" w:rsidRDefault="00D866A2" w:rsidP="007836CB">
      <w:pPr>
        <w:widowControl w:val="0"/>
        <w:autoSpaceDE w:val="0"/>
        <w:autoSpaceDN w:val="0"/>
        <w:adjustRightInd w:val="0"/>
        <w:rPr>
          <w:rFonts w:ascii="Arial" w:hAnsi="Arial" w:cs="Arial"/>
          <w:b/>
          <w:bCs/>
        </w:rPr>
      </w:pPr>
      <w:r>
        <w:rPr>
          <w:rFonts w:ascii="Arial" w:hAnsi="Arial" w:cs="Arial"/>
          <w:b/>
          <w:bCs/>
        </w:rPr>
        <w:t>6</w:t>
      </w:r>
      <w:r w:rsidR="00C10825" w:rsidRPr="00C10825">
        <w:rPr>
          <w:rFonts w:ascii="Arial" w:hAnsi="Arial" w:cs="Arial"/>
          <w:b/>
          <w:bCs/>
        </w:rPr>
        <w:t>.</w:t>
      </w:r>
      <w:r w:rsidR="007836CB" w:rsidRPr="00C10825">
        <w:rPr>
          <w:rFonts w:ascii="Arial" w:hAnsi="Arial" w:cs="Arial"/>
          <w:b/>
          <w:bCs/>
        </w:rPr>
        <w:t>7. Beschwerdemöglichkeit ans Bundesgericht</w:t>
      </w:r>
    </w:p>
    <w:p w14:paraId="2D8D4803" w14:textId="1E793063" w:rsidR="007836CB" w:rsidRPr="007836CB" w:rsidRDefault="007836CB" w:rsidP="007836CB">
      <w:pPr>
        <w:widowControl w:val="0"/>
        <w:autoSpaceDE w:val="0"/>
        <w:autoSpaceDN w:val="0"/>
        <w:adjustRightInd w:val="0"/>
        <w:rPr>
          <w:rFonts w:ascii="Arial" w:hAnsi="Arial" w:cs="Arial"/>
          <w:bCs/>
        </w:rPr>
      </w:pPr>
      <w:r w:rsidRPr="007836CB">
        <w:rPr>
          <w:rFonts w:ascii="Arial" w:hAnsi="Arial" w:cs="Arial"/>
          <w:bCs/>
        </w:rPr>
        <w:t>Durch eine Ausnahme von Art. 189 Abs. 4 BV, nach welcher Bestimmung Akte der Bundesversammlung beim Bundesgericht nicht angefochten werden können,  müsste zugelassen werden, dass Beschlüsse der Bundesversammlung über die Gültigkeit oder Ungültigkeit von Volksinitiativen auf dem Beschwerdeweg an das Bundesgericht weitergezogen werden können</w:t>
      </w:r>
      <w:r w:rsidR="009C7B35">
        <w:rPr>
          <w:rStyle w:val="Funotenzeichen"/>
          <w:rFonts w:ascii="Arial" w:hAnsi="Arial" w:cs="Arial"/>
          <w:bCs/>
        </w:rPr>
        <w:footnoteReference w:id="48"/>
      </w:r>
      <w:r w:rsidRPr="007836CB">
        <w:rPr>
          <w:rFonts w:ascii="Arial" w:hAnsi="Arial" w:cs="Arial"/>
          <w:bCs/>
        </w:rPr>
        <w:t>.</w:t>
      </w:r>
    </w:p>
    <w:p w14:paraId="20105A2F" w14:textId="77777777" w:rsidR="007836CB" w:rsidRPr="007836CB" w:rsidRDefault="007836CB" w:rsidP="007836CB">
      <w:pPr>
        <w:widowControl w:val="0"/>
        <w:autoSpaceDE w:val="0"/>
        <w:autoSpaceDN w:val="0"/>
        <w:adjustRightInd w:val="0"/>
        <w:rPr>
          <w:rFonts w:ascii="Arial" w:hAnsi="Arial" w:cs="Arial"/>
          <w:bCs/>
        </w:rPr>
      </w:pPr>
    </w:p>
    <w:p w14:paraId="49EECB9A" w14:textId="1917E9FE" w:rsidR="0004298E" w:rsidRDefault="007836CB" w:rsidP="007836CB">
      <w:pPr>
        <w:widowControl w:val="0"/>
        <w:autoSpaceDE w:val="0"/>
        <w:autoSpaceDN w:val="0"/>
        <w:adjustRightInd w:val="0"/>
        <w:rPr>
          <w:rFonts w:ascii="Arial" w:hAnsi="Arial" w:cs="Arial"/>
          <w:bCs/>
        </w:rPr>
      </w:pPr>
      <w:r w:rsidRPr="007836CB">
        <w:rPr>
          <w:rFonts w:ascii="Arial" w:hAnsi="Arial" w:cs="Arial"/>
          <w:bCs/>
        </w:rPr>
        <w:t>Es bestehen keine Gründe, bei eidgenössischen Volksinitiativen etwas anderes vor</w:t>
      </w:r>
      <w:r w:rsidR="0078358D">
        <w:rPr>
          <w:rFonts w:ascii="Arial" w:hAnsi="Arial" w:cs="Arial"/>
          <w:bCs/>
        </w:rPr>
        <w:t xml:space="preserve">zusehen, als was sich </w:t>
      </w:r>
      <w:r w:rsidRPr="007836CB">
        <w:rPr>
          <w:rFonts w:ascii="Arial" w:hAnsi="Arial" w:cs="Arial"/>
          <w:bCs/>
        </w:rPr>
        <w:t xml:space="preserve">in Bezug auf kantonale Volksinitiativen bewährt hat: </w:t>
      </w:r>
      <w:r w:rsidR="00802E20">
        <w:rPr>
          <w:rFonts w:ascii="Arial" w:hAnsi="Arial" w:cs="Arial"/>
          <w:bCs/>
        </w:rPr>
        <w:t xml:space="preserve">die </w:t>
      </w:r>
      <w:r w:rsidRPr="007836CB">
        <w:rPr>
          <w:rFonts w:ascii="Arial" w:hAnsi="Arial" w:cs="Arial"/>
          <w:bCs/>
        </w:rPr>
        <w:t>Zuständigkeit des Parlaments für den Entscheid über die Gültigkeit oder Ungültigkeit, aber mit dem Recht sowohl der Initianten als auch der übrigen Stimmberechtigten, eine Beschwerde gegen die Ungülti</w:t>
      </w:r>
      <w:r w:rsidR="0078358D">
        <w:rPr>
          <w:rFonts w:ascii="Arial" w:hAnsi="Arial" w:cs="Arial"/>
          <w:bCs/>
        </w:rPr>
        <w:t xml:space="preserve">g- oder </w:t>
      </w:r>
      <w:proofErr w:type="spellStart"/>
      <w:r w:rsidR="0078358D">
        <w:rPr>
          <w:rFonts w:ascii="Arial" w:hAnsi="Arial" w:cs="Arial"/>
          <w:bCs/>
        </w:rPr>
        <w:t>Gültigerklärung</w:t>
      </w:r>
      <w:proofErr w:type="spellEnd"/>
      <w:r w:rsidR="0078358D">
        <w:rPr>
          <w:rFonts w:ascii="Arial" w:hAnsi="Arial" w:cs="Arial"/>
          <w:bCs/>
        </w:rPr>
        <w:t xml:space="preserve"> </w:t>
      </w:r>
      <w:r w:rsidRPr="007836CB">
        <w:rPr>
          <w:rFonts w:ascii="Arial" w:hAnsi="Arial" w:cs="Arial"/>
          <w:bCs/>
        </w:rPr>
        <w:t>beim Bundesgericht einzureichen. D</w:t>
      </w:r>
      <w:r w:rsidR="00644C8F">
        <w:rPr>
          <w:rFonts w:ascii="Arial" w:hAnsi="Arial" w:cs="Arial"/>
          <w:bCs/>
        </w:rPr>
        <w:t xml:space="preserve">ie </w:t>
      </w:r>
      <w:proofErr w:type="spellStart"/>
      <w:r w:rsidR="00644C8F">
        <w:rPr>
          <w:rFonts w:ascii="Arial" w:hAnsi="Arial" w:cs="Arial"/>
          <w:bCs/>
        </w:rPr>
        <w:t>Schliessung</w:t>
      </w:r>
      <w:proofErr w:type="spellEnd"/>
      <w:r w:rsidR="00644C8F">
        <w:rPr>
          <w:rFonts w:ascii="Arial" w:hAnsi="Arial" w:cs="Arial"/>
          <w:bCs/>
        </w:rPr>
        <w:t xml:space="preserve"> dieser - spätestens seit der starken Verlagerung der Volksinitiat</w:t>
      </w:r>
      <w:r w:rsidR="00991DFB">
        <w:rPr>
          <w:rFonts w:ascii="Arial" w:hAnsi="Arial" w:cs="Arial"/>
          <w:bCs/>
        </w:rPr>
        <w:t>i</w:t>
      </w:r>
      <w:r w:rsidR="00653B32">
        <w:rPr>
          <w:rFonts w:ascii="Arial" w:hAnsi="Arial" w:cs="Arial"/>
          <w:bCs/>
        </w:rPr>
        <w:t xml:space="preserve">ven von der kantonalen auf </w:t>
      </w:r>
      <w:r w:rsidR="00644C8F">
        <w:rPr>
          <w:rFonts w:ascii="Arial" w:hAnsi="Arial" w:cs="Arial"/>
          <w:bCs/>
        </w:rPr>
        <w:t xml:space="preserve">Bundesebene - </w:t>
      </w:r>
      <w:r w:rsidRPr="007836CB">
        <w:rPr>
          <w:rFonts w:ascii="Arial" w:hAnsi="Arial" w:cs="Arial"/>
          <w:bCs/>
        </w:rPr>
        <w:t>empfindlichen Lü</w:t>
      </w:r>
      <w:r w:rsidR="00653B32">
        <w:rPr>
          <w:rFonts w:ascii="Arial" w:hAnsi="Arial" w:cs="Arial"/>
          <w:bCs/>
        </w:rPr>
        <w:t>cke im richterlichen Schutz der politischen Rechte bei eidgenössischen Volksinitiativen</w:t>
      </w:r>
      <w:r w:rsidRPr="007836CB">
        <w:rPr>
          <w:rFonts w:ascii="Arial" w:hAnsi="Arial" w:cs="Arial"/>
          <w:bCs/>
        </w:rPr>
        <w:t xml:space="preserve"> drängt sich bei einer Erweiterung der Ungültigkeitsgründe umso mehr auf, als sich damit differenziert zu betrachtende Rechtsfragen von so grundlegender Bedeutung stellen, dass im gewaltenteiligen Rechtsstaat die oberste Justizinstanz </w:t>
      </w:r>
      <w:r w:rsidR="0078358D">
        <w:rPr>
          <w:rFonts w:ascii="Arial" w:hAnsi="Arial" w:cs="Arial"/>
          <w:bCs/>
        </w:rPr>
        <w:t xml:space="preserve">auch hier </w:t>
      </w:r>
      <w:r w:rsidRPr="007836CB">
        <w:rPr>
          <w:rFonts w:ascii="Arial" w:hAnsi="Arial" w:cs="Arial"/>
          <w:bCs/>
        </w:rPr>
        <w:t>für eine kohärente und</w:t>
      </w:r>
      <w:r w:rsidR="00C3173D" w:rsidRPr="00C3173D">
        <w:rPr>
          <w:rFonts w:eastAsiaTheme="minorEastAsia"/>
          <w:sz w:val="32"/>
          <w:szCs w:val="32"/>
          <w:lang w:eastAsia="de-DE"/>
        </w:rPr>
        <w:t xml:space="preserve"> </w:t>
      </w:r>
      <w:r w:rsidR="00C3173D" w:rsidRPr="00C3173D">
        <w:rPr>
          <w:rFonts w:ascii="Arial" w:hAnsi="Arial" w:cs="Arial"/>
          <w:bCs/>
        </w:rPr>
        <w:t>konsequente Rechtsprechung muss sorgen können.</w:t>
      </w:r>
    </w:p>
    <w:p w14:paraId="3DB0453D" w14:textId="77777777" w:rsidR="00FB3400" w:rsidRDefault="00FB3400" w:rsidP="007836CB">
      <w:pPr>
        <w:widowControl w:val="0"/>
        <w:autoSpaceDE w:val="0"/>
        <w:autoSpaceDN w:val="0"/>
        <w:adjustRightInd w:val="0"/>
        <w:rPr>
          <w:rFonts w:ascii="Arial" w:hAnsi="Arial" w:cs="Arial"/>
          <w:bCs/>
        </w:rPr>
      </w:pPr>
    </w:p>
    <w:p w14:paraId="0A6065AC" w14:textId="2D965A4A" w:rsidR="00FB3400" w:rsidRDefault="00FB3400" w:rsidP="007836CB">
      <w:pPr>
        <w:widowControl w:val="0"/>
        <w:autoSpaceDE w:val="0"/>
        <w:autoSpaceDN w:val="0"/>
        <w:adjustRightInd w:val="0"/>
        <w:rPr>
          <w:rFonts w:ascii="Arial" w:hAnsi="Arial" w:cs="Arial"/>
          <w:b/>
          <w:bCs/>
        </w:rPr>
      </w:pPr>
      <w:r>
        <w:rPr>
          <w:rFonts w:ascii="Arial" w:hAnsi="Arial" w:cs="Arial"/>
          <w:b/>
          <w:bCs/>
        </w:rPr>
        <w:t>7. Schluss</w:t>
      </w:r>
    </w:p>
    <w:p w14:paraId="5B0B5DE6" w14:textId="61F07B1F" w:rsidR="00FB3400" w:rsidRPr="00FB3400" w:rsidRDefault="00FB3400" w:rsidP="007836CB">
      <w:pPr>
        <w:widowControl w:val="0"/>
        <w:autoSpaceDE w:val="0"/>
        <w:autoSpaceDN w:val="0"/>
        <w:adjustRightInd w:val="0"/>
        <w:rPr>
          <w:rFonts w:ascii="Arial" w:hAnsi="Arial" w:cs="Arial"/>
          <w:bCs/>
        </w:rPr>
      </w:pPr>
      <w:r>
        <w:rPr>
          <w:rFonts w:ascii="Arial" w:hAnsi="Arial" w:cs="Arial"/>
          <w:bCs/>
        </w:rPr>
        <w:t>Zusammenfassend kann ganz</w:t>
      </w:r>
      <w:r w:rsidR="00496803">
        <w:rPr>
          <w:rFonts w:ascii="Arial" w:hAnsi="Arial" w:cs="Arial"/>
          <w:bCs/>
        </w:rPr>
        <w:t xml:space="preserve"> kurz festgehalten werden: Wenn</w:t>
      </w:r>
      <w:r>
        <w:rPr>
          <w:rFonts w:ascii="Arial" w:hAnsi="Arial" w:cs="Arial"/>
          <w:bCs/>
        </w:rPr>
        <w:t xml:space="preserve"> ein </w:t>
      </w:r>
      <w:r w:rsidR="00496803">
        <w:rPr>
          <w:rFonts w:ascii="Arial" w:hAnsi="Arial" w:cs="Arial"/>
          <w:bCs/>
        </w:rPr>
        <w:t xml:space="preserve">politischer </w:t>
      </w:r>
      <w:r>
        <w:rPr>
          <w:rFonts w:ascii="Arial" w:hAnsi="Arial" w:cs="Arial"/>
          <w:bCs/>
        </w:rPr>
        <w:t xml:space="preserve">Wille zu handeln, wo zu handeln ist, vorhanden wäre, wäre auch ein legitimer </w:t>
      </w:r>
      <w:r w:rsidR="0028751A">
        <w:rPr>
          <w:rFonts w:ascii="Arial" w:hAnsi="Arial" w:cs="Arial"/>
          <w:bCs/>
        </w:rPr>
        <w:t>rech</w:t>
      </w:r>
      <w:r>
        <w:rPr>
          <w:rFonts w:ascii="Arial" w:hAnsi="Arial" w:cs="Arial"/>
          <w:bCs/>
        </w:rPr>
        <w:t>tlicher Weg gegeben.</w:t>
      </w:r>
    </w:p>
    <w:p w14:paraId="1C1571EC" w14:textId="77777777" w:rsidR="0004298E" w:rsidRPr="0004298E" w:rsidRDefault="0004298E" w:rsidP="00232D9E">
      <w:pPr>
        <w:widowControl w:val="0"/>
        <w:autoSpaceDE w:val="0"/>
        <w:autoSpaceDN w:val="0"/>
        <w:adjustRightInd w:val="0"/>
        <w:rPr>
          <w:rFonts w:ascii="Arial" w:hAnsi="Arial" w:cs="Arial"/>
          <w:b/>
          <w:bCs/>
        </w:rPr>
      </w:pPr>
    </w:p>
    <w:p w14:paraId="38544605" w14:textId="77777777" w:rsidR="00232D9E" w:rsidRDefault="00232D9E" w:rsidP="0001730B">
      <w:pPr>
        <w:widowControl w:val="0"/>
        <w:autoSpaceDE w:val="0"/>
        <w:autoSpaceDN w:val="0"/>
        <w:adjustRightInd w:val="0"/>
        <w:rPr>
          <w:rFonts w:ascii="Arial" w:hAnsi="Arial" w:cs="Arial"/>
          <w:bCs/>
        </w:rPr>
      </w:pPr>
    </w:p>
    <w:sectPr w:rsidR="00232D9E" w:rsidSect="00942AC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94A00" w14:textId="77777777" w:rsidR="001C2856" w:rsidRDefault="001C2856" w:rsidP="00B1110D">
      <w:r>
        <w:separator/>
      </w:r>
    </w:p>
  </w:endnote>
  <w:endnote w:type="continuationSeparator" w:id="0">
    <w:p w14:paraId="33328F14" w14:textId="77777777" w:rsidR="001C2856" w:rsidRDefault="001C2856" w:rsidP="00B1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225F8" w14:textId="77777777" w:rsidR="001C2856" w:rsidRDefault="001C2856" w:rsidP="00B1110D">
      <w:r>
        <w:separator/>
      </w:r>
    </w:p>
  </w:footnote>
  <w:footnote w:type="continuationSeparator" w:id="0">
    <w:p w14:paraId="2457FC5B" w14:textId="77777777" w:rsidR="001C2856" w:rsidRDefault="001C2856" w:rsidP="00B1110D">
      <w:r>
        <w:continuationSeparator/>
      </w:r>
    </w:p>
  </w:footnote>
  <w:footnote w:id="1">
    <w:p w14:paraId="0CFDF6C7" w14:textId="6D96BB12" w:rsidR="00B1110D" w:rsidRPr="00AA1A30" w:rsidRDefault="00B1110D">
      <w:pPr>
        <w:pStyle w:val="Funotentext"/>
        <w:rPr>
          <w:rFonts w:ascii="Arial" w:hAnsi="Arial" w:cs="Arial"/>
          <w:sz w:val="20"/>
          <w:szCs w:val="20"/>
          <w:lang w:val="de-CH"/>
        </w:rPr>
      </w:pPr>
      <w:r>
        <w:rPr>
          <w:rStyle w:val="Funotenzeichen"/>
        </w:rPr>
        <w:footnoteRef/>
      </w:r>
      <w:r>
        <w:t xml:space="preserve"> </w:t>
      </w:r>
      <w:r w:rsidRPr="00AA1A30">
        <w:rPr>
          <w:rFonts w:ascii="Arial" w:hAnsi="Arial" w:cs="Arial"/>
          <w:sz w:val="20"/>
          <w:szCs w:val="20"/>
          <w:lang w:val="de-CH"/>
        </w:rPr>
        <w:t>Amtliches Bulletin, Geschäftsnummer 14.024.</w:t>
      </w:r>
    </w:p>
  </w:footnote>
  <w:footnote w:id="2">
    <w:p w14:paraId="167723AA" w14:textId="164CCD17" w:rsidR="00C4147D" w:rsidRPr="00C4147D" w:rsidRDefault="00C4147D">
      <w:pPr>
        <w:pStyle w:val="Funotentext"/>
        <w:rPr>
          <w:lang w:val="de-CH"/>
        </w:rPr>
      </w:pPr>
      <w:r w:rsidRPr="00AA1A30">
        <w:rPr>
          <w:rStyle w:val="Funotenzeichen"/>
          <w:rFonts w:ascii="Arial" w:hAnsi="Arial" w:cs="Arial"/>
          <w:sz w:val="20"/>
          <w:szCs w:val="20"/>
        </w:rPr>
        <w:footnoteRef/>
      </w:r>
      <w:r w:rsidRPr="00AA1A30">
        <w:rPr>
          <w:rFonts w:ascii="Arial" w:hAnsi="Arial" w:cs="Arial"/>
          <w:sz w:val="20"/>
          <w:szCs w:val="20"/>
        </w:rPr>
        <w:t xml:space="preserve"> </w:t>
      </w:r>
      <w:r w:rsidRPr="00AA1A30">
        <w:rPr>
          <w:rFonts w:ascii="Arial" w:hAnsi="Arial" w:cs="Arial"/>
          <w:sz w:val="20"/>
          <w:szCs w:val="20"/>
          <w:lang w:val="de-CH"/>
        </w:rPr>
        <w:t>Anforderungen an die Gültigkeit von Volksinitiativen. Prüfung des Reformbedarfs, Bericht der SPK-SR vom 20. August 2015.</w:t>
      </w:r>
    </w:p>
  </w:footnote>
  <w:footnote w:id="3">
    <w:p w14:paraId="3A1D3920" w14:textId="5970284E" w:rsidR="00431B73" w:rsidRPr="00AA1A30" w:rsidRDefault="00431B73">
      <w:pPr>
        <w:pStyle w:val="Funotentext"/>
        <w:rPr>
          <w:rFonts w:ascii="Arial" w:hAnsi="Arial" w:cs="Arial"/>
          <w:sz w:val="20"/>
          <w:szCs w:val="20"/>
          <w:lang w:val="de-CH"/>
        </w:rPr>
      </w:pPr>
      <w:r>
        <w:rPr>
          <w:rStyle w:val="Funotenzeichen"/>
        </w:rPr>
        <w:footnoteRef/>
      </w:r>
      <w:r>
        <w:t xml:space="preserve"> </w:t>
      </w:r>
      <w:r w:rsidR="00394B04" w:rsidRPr="00AA1A30">
        <w:rPr>
          <w:rFonts w:ascii="Arial" w:hAnsi="Arial" w:cs="Arial"/>
          <w:sz w:val="20"/>
          <w:szCs w:val="20"/>
        </w:rPr>
        <w:t xml:space="preserve">Giusep Nay, </w:t>
      </w:r>
      <w:r w:rsidRPr="00AA1A30">
        <w:rPr>
          <w:rFonts w:ascii="Arial" w:hAnsi="Arial" w:cs="Arial"/>
          <w:sz w:val="20"/>
          <w:szCs w:val="20"/>
          <w:lang w:val="de-CH"/>
        </w:rPr>
        <w:t>Initiativrecht und Wahrung des Verfassungsbestandes, in: Georg Kreis (</w:t>
      </w:r>
      <w:proofErr w:type="spellStart"/>
      <w:r w:rsidRPr="00AA1A30">
        <w:rPr>
          <w:rFonts w:ascii="Arial" w:hAnsi="Arial" w:cs="Arial"/>
          <w:sz w:val="20"/>
          <w:szCs w:val="20"/>
          <w:lang w:val="de-CH"/>
        </w:rPr>
        <w:t>Hg</w:t>
      </w:r>
      <w:proofErr w:type="spellEnd"/>
      <w:r w:rsidRPr="00AA1A30">
        <w:rPr>
          <w:rFonts w:ascii="Arial" w:hAnsi="Arial" w:cs="Arial"/>
          <w:sz w:val="20"/>
          <w:szCs w:val="20"/>
          <w:lang w:val="de-CH"/>
        </w:rPr>
        <w:t xml:space="preserve">.), </w:t>
      </w:r>
      <w:proofErr w:type="spellStart"/>
      <w:r w:rsidRPr="00AA1A30">
        <w:rPr>
          <w:rFonts w:ascii="Arial" w:hAnsi="Arial" w:cs="Arial"/>
          <w:sz w:val="20"/>
          <w:szCs w:val="20"/>
          <w:lang w:val="de-CH"/>
        </w:rPr>
        <w:t>Wahrungs</w:t>
      </w:r>
      <w:proofErr w:type="spellEnd"/>
      <w:r w:rsidRPr="00AA1A30">
        <w:rPr>
          <w:rFonts w:ascii="Arial" w:hAnsi="Arial" w:cs="Arial"/>
          <w:sz w:val="20"/>
          <w:szCs w:val="20"/>
          <w:lang w:val="de-CH"/>
        </w:rPr>
        <w:t xml:space="preserve"> des Verfassungsbestandes, Zürich 2015. </w:t>
      </w:r>
      <w:proofErr w:type="spellStart"/>
      <w:proofErr w:type="gramStart"/>
      <w:r w:rsidR="00394B04" w:rsidRPr="00AA1A30">
        <w:rPr>
          <w:rFonts w:ascii="Arial" w:hAnsi="Arial" w:cs="Arial"/>
          <w:sz w:val="20"/>
          <w:szCs w:val="20"/>
          <w:lang w:val="de-CH"/>
        </w:rPr>
        <w:t>Ders</w:t>
      </w:r>
      <w:proofErr w:type="spellEnd"/>
      <w:r w:rsidR="00394B04" w:rsidRPr="00AA1A30">
        <w:rPr>
          <w:rFonts w:ascii="Arial" w:hAnsi="Arial" w:cs="Arial"/>
          <w:sz w:val="20"/>
          <w:szCs w:val="20"/>
          <w:lang w:val="de-CH"/>
        </w:rPr>
        <w:t>.,</w:t>
      </w:r>
      <w:proofErr w:type="gramEnd"/>
      <w:r w:rsidR="00394B04" w:rsidRPr="00AA1A30">
        <w:rPr>
          <w:rFonts w:ascii="Arial" w:hAnsi="Arial" w:cs="Arial"/>
          <w:sz w:val="20"/>
          <w:szCs w:val="20"/>
          <w:lang w:val="de-CH"/>
        </w:rPr>
        <w:t xml:space="preserve"> </w:t>
      </w:r>
      <w:r w:rsidRPr="00AA1A30">
        <w:rPr>
          <w:rFonts w:ascii="Arial" w:hAnsi="Arial" w:cs="Arial"/>
          <w:sz w:val="20"/>
          <w:szCs w:val="20"/>
          <w:lang w:val="de-CH"/>
        </w:rPr>
        <w:t xml:space="preserve">Das Volk hat nicht immer Recht, in: FS Auer: Direkte Demokratie: Herausforderungen zwischen Politik und Recht, Bern 2013, S. 163 ff. </w:t>
      </w:r>
      <w:proofErr w:type="spellStart"/>
      <w:r w:rsidR="00394B04" w:rsidRPr="00AA1A30">
        <w:rPr>
          <w:rFonts w:ascii="Arial" w:hAnsi="Arial" w:cs="Arial"/>
          <w:sz w:val="20"/>
          <w:szCs w:val="20"/>
          <w:lang w:val="de-CH"/>
        </w:rPr>
        <w:t>Ders</w:t>
      </w:r>
      <w:proofErr w:type="spellEnd"/>
      <w:r w:rsidR="00394B04" w:rsidRPr="00AA1A30">
        <w:rPr>
          <w:rFonts w:ascii="Arial" w:hAnsi="Arial" w:cs="Arial"/>
          <w:sz w:val="20"/>
          <w:szCs w:val="20"/>
          <w:lang w:val="de-CH"/>
        </w:rPr>
        <w:t xml:space="preserve">., </w:t>
      </w:r>
      <w:r w:rsidRPr="00AA1A30">
        <w:rPr>
          <w:rFonts w:ascii="Arial" w:hAnsi="Arial" w:cs="Arial"/>
          <w:sz w:val="20"/>
          <w:szCs w:val="20"/>
          <w:lang w:val="de-CH"/>
        </w:rPr>
        <w:t xml:space="preserve">Der Wille der Stimmbürger, NZZ 06.12.2013, Gastkommentar in Meinung &amp; Debatte. </w:t>
      </w:r>
      <w:proofErr w:type="spellStart"/>
      <w:proofErr w:type="gramStart"/>
      <w:r w:rsidR="00394B04" w:rsidRPr="00AA1A30">
        <w:rPr>
          <w:rFonts w:ascii="Arial" w:hAnsi="Arial" w:cs="Arial"/>
          <w:sz w:val="20"/>
          <w:szCs w:val="20"/>
          <w:lang w:val="de-CH"/>
        </w:rPr>
        <w:t>Ders</w:t>
      </w:r>
      <w:proofErr w:type="spellEnd"/>
      <w:r w:rsidR="00394B04" w:rsidRPr="00AA1A30">
        <w:rPr>
          <w:rFonts w:ascii="Arial" w:hAnsi="Arial" w:cs="Arial"/>
          <w:sz w:val="20"/>
          <w:szCs w:val="20"/>
          <w:lang w:val="de-CH"/>
        </w:rPr>
        <w:t>.,</w:t>
      </w:r>
      <w:proofErr w:type="gramEnd"/>
      <w:r w:rsidR="00394B04" w:rsidRPr="00AA1A30">
        <w:rPr>
          <w:rFonts w:ascii="Arial" w:hAnsi="Arial" w:cs="Arial"/>
          <w:sz w:val="20"/>
          <w:szCs w:val="20"/>
          <w:lang w:val="de-CH"/>
        </w:rPr>
        <w:t xml:space="preserve"> </w:t>
      </w:r>
      <w:r w:rsidRPr="00AA1A30">
        <w:rPr>
          <w:rFonts w:ascii="Arial" w:hAnsi="Arial" w:cs="Arial"/>
          <w:sz w:val="20"/>
          <w:szCs w:val="20"/>
          <w:lang w:val="de-CH"/>
        </w:rPr>
        <w:t>Volk nicht verschaukeln, Asyl 3/14, Editorial.</w:t>
      </w:r>
    </w:p>
  </w:footnote>
  <w:footnote w:id="4">
    <w:p w14:paraId="6FB573D8" w14:textId="77777777" w:rsidR="001535FF" w:rsidRDefault="001535FF" w:rsidP="001535FF">
      <w:pPr>
        <w:pStyle w:val="Funotentext"/>
      </w:pPr>
      <w:r w:rsidRPr="00AA1A30">
        <w:rPr>
          <w:rStyle w:val="Funotenzeichen"/>
          <w:rFonts w:ascii="Arial" w:hAnsi="Arial" w:cs="Arial"/>
          <w:sz w:val="20"/>
          <w:szCs w:val="20"/>
        </w:rPr>
        <w:footnoteRef/>
      </w:r>
      <w:r w:rsidRPr="00AA1A30">
        <w:rPr>
          <w:rFonts w:ascii="Arial" w:hAnsi="Arial" w:cs="Arial"/>
          <w:sz w:val="20"/>
          <w:szCs w:val="20"/>
        </w:rPr>
        <w:t xml:space="preserve"> Botschaft des Bundesrates zur neuen Bundesverfassung, </w:t>
      </w:r>
      <w:proofErr w:type="spellStart"/>
      <w:r w:rsidRPr="00AA1A30">
        <w:rPr>
          <w:rFonts w:ascii="Arial" w:hAnsi="Arial" w:cs="Arial"/>
          <w:sz w:val="20"/>
          <w:szCs w:val="20"/>
        </w:rPr>
        <w:t>BBl</w:t>
      </w:r>
      <w:proofErr w:type="spellEnd"/>
      <w:r w:rsidRPr="00AA1A30">
        <w:rPr>
          <w:rFonts w:ascii="Arial" w:hAnsi="Arial" w:cs="Arial"/>
          <w:sz w:val="20"/>
          <w:szCs w:val="20"/>
        </w:rPr>
        <w:t xml:space="preserve"> 1997 I 445.</w:t>
      </w:r>
    </w:p>
  </w:footnote>
  <w:footnote w:id="5">
    <w:p w14:paraId="1F2A1A36" w14:textId="2EAD7F65" w:rsidR="001535FF" w:rsidRPr="00AA1A30" w:rsidRDefault="001535FF" w:rsidP="001535FF">
      <w:pPr>
        <w:pStyle w:val="Funotentext"/>
        <w:rPr>
          <w:rFonts w:ascii="Arial" w:hAnsi="Arial" w:cs="Arial"/>
          <w:sz w:val="20"/>
          <w:szCs w:val="20"/>
        </w:rPr>
      </w:pPr>
      <w:r>
        <w:rPr>
          <w:rStyle w:val="Funotenzeichen"/>
        </w:rPr>
        <w:footnoteRef/>
      </w:r>
      <w:r>
        <w:t xml:space="preserve"> </w:t>
      </w:r>
      <w:proofErr w:type="spellStart"/>
      <w:r w:rsidRPr="00AA1A30">
        <w:rPr>
          <w:rFonts w:ascii="Arial" w:hAnsi="Arial" w:cs="Arial"/>
          <w:sz w:val="20"/>
          <w:szCs w:val="20"/>
        </w:rPr>
        <w:t>BBl</w:t>
      </w:r>
      <w:proofErr w:type="spellEnd"/>
      <w:r w:rsidRPr="00AA1A30">
        <w:rPr>
          <w:rFonts w:ascii="Arial" w:hAnsi="Arial" w:cs="Arial"/>
          <w:sz w:val="20"/>
          <w:szCs w:val="20"/>
        </w:rPr>
        <w:t xml:space="preserve"> 1997 I 446 ff. </w:t>
      </w:r>
    </w:p>
  </w:footnote>
  <w:footnote w:id="6">
    <w:p w14:paraId="2D3C3D18" w14:textId="77B72DDD" w:rsidR="001535FF" w:rsidRPr="00AA1A30" w:rsidRDefault="001535FF" w:rsidP="001535FF">
      <w:pPr>
        <w:pStyle w:val="Funotentext"/>
        <w:rPr>
          <w:rFonts w:ascii="Arial" w:hAnsi="Arial" w:cs="Arial"/>
          <w:sz w:val="20"/>
          <w:szCs w:val="20"/>
        </w:rPr>
      </w:pPr>
      <w:r w:rsidRPr="00AA1A30">
        <w:rPr>
          <w:rStyle w:val="Funotenzeichen"/>
          <w:rFonts w:ascii="Arial" w:hAnsi="Arial" w:cs="Arial"/>
          <w:sz w:val="20"/>
          <w:szCs w:val="20"/>
        </w:rPr>
        <w:footnoteRef/>
      </w:r>
      <w:r w:rsidRPr="00AA1A30">
        <w:rPr>
          <w:rFonts w:ascii="Arial" w:hAnsi="Arial" w:cs="Arial"/>
          <w:sz w:val="20"/>
          <w:szCs w:val="20"/>
        </w:rPr>
        <w:t xml:space="preserve"> Diese wei</w:t>
      </w:r>
      <w:r w:rsidR="004A5D7C" w:rsidRPr="00AA1A30">
        <w:rPr>
          <w:rFonts w:ascii="Arial" w:hAnsi="Arial" w:cs="Arial"/>
          <w:sz w:val="20"/>
          <w:szCs w:val="20"/>
        </w:rPr>
        <w:t>tgehende Schonung des Initiativ</w:t>
      </w:r>
      <w:r w:rsidRPr="00AA1A30">
        <w:rPr>
          <w:rFonts w:ascii="Arial" w:hAnsi="Arial" w:cs="Arial"/>
          <w:sz w:val="20"/>
          <w:szCs w:val="20"/>
        </w:rPr>
        <w:t>rechts erfolg</w:t>
      </w:r>
      <w:r w:rsidR="004A5D7C" w:rsidRPr="00AA1A30">
        <w:rPr>
          <w:rFonts w:ascii="Arial" w:hAnsi="Arial" w:cs="Arial"/>
          <w:sz w:val="20"/>
          <w:szCs w:val="20"/>
        </w:rPr>
        <w:t>t</w:t>
      </w:r>
      <w:r w:rsidRPr="00AA1A30">
        <w:rPr>
          <w:rFonts w:ascii="Arial" w:hAnsi="Arial" w:cs="Arial"/>
          <w:sz w:val="20"/>
          <w:szCs w:val="20"/>
        </w:rPr>
        <w:t>e mit Blick auf die vielen politischen und rechtlichen Mittel, die eingesetzt werden könnten, um einen Normkonflikt zu vermeiden, wurde dazu angemerkt.</w:t>
      </w:r>
    </w:p>
  </w:footnote>
  <w:footnote w:id="7">
    <w:p w14:paraId="7B009363" w14:textId="6835AE29" w:rsidR="001535FF" w:rsidRPr="00AA1A30" w:rsidRDefault="001535FF" w:rsidP="001535FF">
      <w:pPr>
        <w:pStyle w:val="Funotentext"/>
        <w:rPr>
          <w:rFonts w:ascii="Arial" w:hAnsi="Arial" w:cs="Arial"/>
          <w:sz w:val="20"/>
          <w:szCs w:val="20"/>
        </w:rPr>
      </w:pPr>
      <w:r w:rsidRPr="00AA1A30">
        <w:rPr>
          <w:rStyle w:val="Funotenzeichen"/>
          <w:rFonts w:ascii="Arial" w:hAnsi="Arial" w:cs="Arial"/>
          <w:sz w:val="20"/>
          <w:szCs w:val="20"/>
        </w:rPr>
        <w:footnoteRef/>
      </w:r>
      <w:r w:rsidRPr="00AA1A30">
        <w:rPr>
          <w:rFonts w:ascii="Arial" w:hAnsi="Arial" w:cs="Arial"/>
          <w:sz w:val="20"/>
          <w:szCs w:val="20"/>
        </w:rPr>
        <w:t xml:space="preserve"> Als Beispiel dafür wurde die </w:t>
      </w:r>
      <w:proofErr w:type="spellStart"/>
      <w:r w:rsidRPr="00AA1A30">
        <w:rPr>
          <w:rFonts w:ascii="Arial" w:hAnsi="Arial" w:cs="Arial"/>
          <w:sz w:val="20"/>
          <w:szCs w:val="20"/>
        </w:rPr>
        <w:t>Ungültigerklärung</w:t>
      </w:r>
      <w:proofErr w:type="spellEnd"/>
      <w:r w:rsidRPr="00AA1A30">
        <w:rPr>
          <w:rFonts w:ascii="Arial" w:hAnsi="Arial" w:cs="Arial"/>
          <w:sz w:val="20"/>
          <w:szCs w:val="20"/>
        </w:rPr>
        <w:t xml:space="preserve"> der Volksinitiative "</w:t>
      </w:r>
      <w:proofErr w:type="spellStart"/>
      <w:r w:rsidRPr="00AA1A30">
        <w:rPr>
          <w:rFonts w:ascii="Arial" w:hAnsi="Arial" w:cs="Arial"/>
          <w:sz w:val="20"/>
          <w:szCs w:val="20"/>
        </w:rPr>
        <w:t>für</w:t>
      </w:r>
      <w:proofErr w:type="spellEnd"/>
      <w:r w:rsidRPr="00AA1A30">
        <w:rPr>
          <w:rFonts w:ascii="Arial" w:hAnsi="Arial" w:cs="Arial"/>
          <w:sz w:val="20"/>
          <w:szCs w:val="20"/>
        </w:rPr>
        <w:t xml:space="preserve"> eine </w:t>
      </w:r>
      <w:proofErr w:type="spellStart"/>
      <w:r w:rsidRPr="00AA1A30">
        <w:rPr>
          <w:rFonts w:ascii="Arial" w:hAnsi="Arial" w:cs="Arial"/>
          <w:sz w:val="20"/>
          <w:szCs w:val="20"/>
        </w:rPr>
        <w:t>vernünftige</w:t>
      </w:r>
      <w:proofErr w:type="spellEnd"/>
      <w:r w:rsidRPr="00AA1A30">
        <w:rPr>
          <w:rFonts w:ascii="Arial" w:hAnsi="Arial" w:cs="Arial"/>
          <w:sz w:val="20"/>
          <w:szCs w:val="20"/>
        </w:rPr>
        <w:t xml:space="preserve"> Asylpolitik" wegen </w:t>
      </w:r>
      <w:proofErr w:type="spellStart"/>
      <w:r w:rsidRPr="00AA1A30">
        <w:rPr>
          <w:rFonts w:ascii="Arial" w:hAnsi="Arial" w:cs="Arial"/>
          <w:sz w:val="20"/>
          <w:szCs w:val="20"/>
        </w:rPr>
        <w:t>Verstosses</w:t>
      </w:r>
      <w:proofErr w:type="spellEnd"/>
      <w:r w:rsidRPr="00AA1A30">
        <w:rPr>
          <w:rFonts w:ascii="Arial" w:hAnsi="Arial" w:cs="Arial"/>
          <w:sz w:val="20"/>
          <w:szCs w:val="20"/>
        </w:rPr>
        <w:t xml:space="preserve"> gegen das Prinzip des Ausschaffungsverbots (non-</w:t>
      </w:r>
      <w:proofErr w:type="spellStart"/>
      <w:r w:rsidRPr="00AA1A30">
        <w:rPr>
          <w:rFonts w:ascii="Arial" w:hAnsi="Arial" w:cs="Arial"/>
          <w:sz w:val="20"/>
          <w:szCs w:val="20"/>
        </w:rPr>
        <w:t>refoulement</w:t>
      </w:r>
      <w:proofErr w:type="spellEnd"/>
      <w:r w:rsidRPr="00AA1A30">
        <w:rPr>
          <w:rFonts w:ascii="Arial" w:hAnsi="Arial" w:cs="Arial"/>
          <w:sz w:val="20"/>
          <w:szCs w:val="20"/>
        </w:rPr>
        <w:t xml:space="preserve">) angeführt: siehe </w:t>
      </w:r>
      <w:proofErr w:type="spellStart"/>
      <w:r w:rsidRPr="00AA1A30">
        <w:rPr>
          <w:rFonts w:ascii="Arial" w:hAnsi="Arial" w:cs="Arial"/>
          <w:sz w:val="20"/>
          <w:szCs w:val="20"/>
        </w:rPr>
        <w:t>BBl</w:t>
      </w:r>
      <w:proofErr w:type="spellEnd"/>
      <w:r w:rsidRPr="00AA1A30">
        <w:rPr>
          <w:rFonts w:ascii="Arial" w:hAnsi="Arial" w:cs="Arial"/>
          <w:sz w:val="20"/>
          <w:szCs w:val="20"/>
        </w:rPr>
        <w:t xml:space="preserve"> 1994 I 1496 ff. Dort </w:t>
      </w:r>
      <w:proofErr w:type="spellStart"/>
      <w:r w:rsidRPr="00AA1A30">
        <w:rPr>
          <w:rFonts w:ascii="Arial" w:hAnsi="Arial" w:cs="Arial"/>
          <w:sz w:val="20"/>
          <w:szCs w:val="20"/>
        </w:rPr>
        <w:t>hattte</w:t>
      </w:r>
      <w:proofErr w:type="spellEnd"/>
      <w:r w:rsidRPr="00AA1A30">
        <w:rPr>
          <w:rFonts w:ascii="Arial" w:hAnsi="Arial" w:cs="Arial"/>
          <w:sz w:val="20"/>
          <w:szCs w:val="20"/>
        </w:rPr>
        <w:t xml:space="preserve"> der Bundesrat in Anlehnu</w:t>
      </w:r>
      <w:r w:rsidR="00394B04" w:rsidRPr="00AA1A30">
        <w:rPr>
          <w:rFonts w:ascii="Arial" w:hAnsi="Arial" w:cs="Arial"/>
          <w:sz w:val="20"/>
          <w:szCs w:val="20"/>
        </w:rPr>
        <w:t>ng an die vorherr</w:t>
      </w:r>
      <w:r w:rsidRPr="00AA1A30">
        <w:rPr>
          <w:rFonts w:ascii="Arial" w:hAnsi="Arial" w:cs="Arial"/>
          <w:sz w:val="20"/>
          <w:szCs w:val="20"/>
        </w:rPr>
        <w:t xml:space="preserve">schende Lehre zum Begriff des zwingenden Völkerrechts festgehalten: „Ein Rechtsstaat kann sich nicht über völkerrechtliche Normen hinwegsetzen, die international als elementare Bestimmungen zum Schutz fundamentalster Grundrechte und des humanitären Völkerrechts verstanden werden und die unabhängig von der Ratifikation oder Kündigung der entsprechenden völkerrechtlichen Verträge einen für alle Rechtsstaaten verbindlichen Charakter aufweisen.“  </w:t>
      </w:r>
    </w:p>
  </w:footnote>
  <w:footnote w:id="8">
    <w:p w14:paraId="60233CB7" w14:textId="77777777" w:rsidR="001535FF" w:rsidRPr="00AA1A30" w:rsidRDefault="001535FF" w:rsidP="001535FF">
      <w:pPr>
        <w:pStyle w:val="Funotentext"/>
        <w:rPr>
          <w:rFonts w:ascii="Arial" w:hAnsi="Arial" w:cs="Arial"/>
          <w:sz w:val="20"/>
          <w:szCs w:val="20"/>
        </w:rPr>
      </w:pPr>
      <w:r w:rsidRPr="00AA1A30">
        <w:rPr>
          <w:rStyle w:val="Funotenzeichen"/>
          <w:rFonts w:ascii="Arial" w:hAnsi="Arial" w:cs="Arial"/>
          <w:sz w:val="20"/>
          <w:szCs w:val="20"/>
        </w:rPr>
        <w:footnoteRef/>
      </w:r>
      <w:r w:rsidRPr="00AA1A30">
        <w:rPr>
          <w:rFonts w:ascii="Arial" w:hAnsi="Arial" w:cs="Arial"/>
          <w:sz w:val="20"/>
          <w:szCs w:val="20"/>
        </w:rPr>
        <w:t xml:space="preserve"> Botschaft BBL 1997 I 15.</w:t>
      </w:r>
    </w:p>
  </w:footnote>
  <w:footnote w:id="9">
    <w:p w14:paraId="42DD2D25" w14:textId="0417EE16" w:rsidR="001535FF" w:rsidRDefault="001535FF" w:rsidP="001535FF">
      <w:pPr>
        <w:pStyle w:val="Funotentext"/>
      </w:pPr>
      <w:r w:rsidRPr="00AA1A30">
        <w:rPr>
          <w:rStyle w:val="Funotenzeichen"/>
          <w:rFonts w:ascii="Arial" w:hAnsi="Arial" w:cs="Arial"/>
          <w:sz w:val="20"/>
          <w:szCs w:val="20"/>
        </w:rPr>
        <w:footnoteRef/>
      </w:r>
      <w:r w:rsidR="00F549F0">
        <w:rPr>
          <w:rFonts w:ascii="Arial" w:hAnsi="Arial" w:cs="Arial"/>
          <w:sz w:val="20"/>
          <w:szCs w:val="20"/>
        </w:rPr>
        <w:t xml:space="preserve"> </w:t>
      </w:r>
      <w:proofErr w:type="spellStart"/>
      <w:r w:rsidRPr="00AA1A30">
        <w:rPr>
          <w:rFonts w:ascii="Arial" w:hAnsi="Arial" w:cs="Arial"/>
          <w:sz w:val="20"/>
          <w:szCs w:val="20"/>
        </w:rPr>
        <w:t>Thürer</w:t>
      </w:r>
      <w:proofErr w:type="spellEnd"/>
      <w:r w:rsidRPr="00AA1A30">
        <w:rPr>
          <w:rFonts w:ascii="Arial" w:hAnsi="Arial" w:cs="Arial"/>
          <w:sz w:val="20"/>
          <w:szCs w:val="20"/>
        </w:rPr>
        <w:t>/Aubert/Müller, Verfassungsrecht der Schweiz, Zürich 2001, S. 201.</w:t>
      </w:r>
      <w:r w:rsidR="00F549F0">
        <w:rPr>
          <w:rFonts w:ascii="Arial" w:hAnsi="Arial" w:cs="Arial"/>
          <w:sz w:val="20"/>
          <w:szCs w:val="20"/>
        </w:rPr>
        <w:t xml:space="preserve"> Daniel </w:t>
      </w:r>
      <w:proofErr w:type="spellStart"/>
      <w:r w:rsidR="00F549F0">
        <w:rPr>
          <w:rFonts w:ascii="Arial" w:hAnsi="Arial" w:cs="Arial"/>
          <w:sz w:val="20"/>
          <w:szCs w:val="20"/>
        </w:rPr>
        <w:t>Thürer</w:t>
      </w:r>
      <w:proofErr w:type="spellEnd"/>
      <w:r w:rsidR="00F549F0">
        <w:rPr>
          <w:rFonts w:ascii="Arial" w:hAnsi="Arial" w:cs="Arial"/>
          <w:sz w:val="20"/>
          <w:szCs w:val="20"/>
        </w:rPr>
        <w:t xml:space="preserve">, Volksherrschaft und Herrschaft, in: </w:t>
      </w:r>
      <w:proofErr w:type="spellStart"/>
      <w:r w:rsidR="00F549F0">
        <w:rPr>
          <w:rFonts w:ascii="Arial" w:hAnsi="Arial" w:cs="Arial"/>
          <w:sz w:val="20"/>
          <w:szCs w:val="20"/>
        </w:rPr>
        <w:t>DanielThürer</w:t>
      </w:r>
      <w:proofErr w:type="spellEnd"/>
      <w:r w:rsidR="00F549F0">
        <w:rPr>
          <w:rFonts w:ascii="Arial" w:hAnsi="Arial" w:cs="Arial"/>
          <w:sz w:val="20"/>
          <w:szCs w:val="20"/>
        </w:rPr>
        <w:t>, Europa als Erfahrung und Experiment – Grundidee und Gerechtigkeit, Zürich 2015, Bd. 3 S. 439 ff.</w:t>
      </w:r>
    </w:p>
  </w:footnote>
  <w:footnote w:id="10">
    <w:p w14:paraId="3A19B72A" w14:textId="6F843635" w:rsidR="001535FF" w:rsidRDefault="001535FF" w:rsidP="001535FF">
      <w:pPr>
        <w:pStyle w:val="Funotentext"/>
      </w:pPr>
      <w:r>
        <w:rPr>
          <w:rStyle w:val="Funotenzeichen"/>
        </w:rPr>
        <w:footnoteRef/>
      </w:r>
      <w:proofErr w:type="spellStart"/>
      <w:r w:rsidRPr="00AA1A30">
        <w:rPr>
          <w:rFonts w:ascii="Arial" w:hAnsi="Arial" w:cs="Arial"/>
          <w:sz w:val="20"/>
          <w:szCs w:val="20"/>
        </w:rPr>
        <w:t>BBl</w:t>
      </w:r>
      <w:proofErr w:type="spellEnd"/>
      <w:r w:rsidRPr="00AA1A30">
        <w:rPr>
          <w:rFonts w:ascii="Arial" w:hAnsi="Arial" w:cs="Arial"/>
          <w:sz w:val="20"/>
          <w:szCs w:val="20"/>
        </w:rPr>
        <w:t xml:space="preserve"> 1996 8958 ff. Das Parlament folgte ihm </w:t>
      </w:r>
      <w:r w:rsidR="00AA1A30">
        <w:rPr>
          <w:rFonts w:ascii="Arial" w:hAnsi="Arial" w:cs="Arial"/>
          <w:sz w:val="20"/>
          <w:szCs w:val="20"/>
        </w:rPr>
        <w:t xml:space="preserve">darin, </w:t>
      </w:r>
      <w:r w:rsidRPr="00AA1A30">
        <w:rPr>
          <w:rFonts w:ascii="Arial" w:hAnsi="Arial" w:cs="Arial"/>
          <w:sz w:val="20"/>
          <w:szCs w:val="20"/>
        </w:rPr>
        <w:t xml:space="preserve">die Initiative wurde in der Volksabstimmung </w:t>
      </w:r>
      <w:r w:rsidR="00AA1A30">
        <w:rPr>
          <w:rFonts w:ascii="Arial" w:hAnsi="Arial" w:cs="Arial"/>
          <w:sz w:val="20"/>
          <w:szCs w:val="20"/>
        </w:rPr>
        <w:t xml:space="preserve">dann </w:t>
      </w:r>
      <w:r w:rsidRPr="00AA1A30">
        <w:rPr>
          <w:rFonts w:ascii="Arial" w:hAnsi="Arial" w:cs="Arial"/>
          <w:sz w:val="20"/>
          <w:szCs w:val="20"/>
        </w:rPr>
        <w:t>abgelehnt.</w:t>
      </w:r>
    </w:p>
  </w:footnote>
  <w:footnote w:id="11">
    <w:p w14:paraId="07948E1E" w14:textId="77777777" w:rsidR="001535FF" w:rsidRPr="00FE7655" w:rsidRDefault="001535FF" w:rsidP="001535FF">
      <w:pPr>
        <w:pStyle w:val="Funotentext"/>
        <w:rPr>
          <w:rFonts w:ascii="Arial" w:hAnsi="Arial" w:cs="Arial"/>
          <w:sz w:val="20"/>
          <w:szCs w:val="20"/>
        </w:rPr>
      </w:pPr>
      <w:r>
        <w:rPr>
          <w:rStyle w:val="Funotenzeichen"/>
        </w:rPr>
        <w:footnoteRef/>
      </w:r>
      <w:r>
        <w:t xml:space="preserve"> </w:t>
      </w:r>
      <w:proofErr w:type="spellStart"/>
      <w:r w:rsidRPr="00FE7655">
        <w:rPr>
          <w:rFonts w:ascii="Arial" w:hAnsi="Arial" w:cs="Arial"/>
          <w:sz w:val="20"/>
          <w:szCs w:val="20"/>
        </w:rPr>
        <w:t>BBl</w:t>
      </w:r>
      <w:proofErr w:type="spellEnd"/>
      <w:r w:rsidRPr="00FE7655">
        <w:rPr>
          <w:rFonts w:ascii="Arial" w:hAnsi="Arial" w:cs="Arial"/>
          <w:sz w:val="20"/>
          <w:szCs w:val="20"/>
        </w:rPr>
        <w:t xml:space="preserve"> 2008 7604.</w:t>
      </w:r>
    </w:p>
  </w:footnote>
  <w:footnote w:id="12">
    <w:p w14:paraId="691CCFCA" w14:textId="77777777" w:rsidR="001535FF" w:rsidRDefault="001535FF" w:rsidP="001535FF">
      <w:pPr>
        <w:pStyle w:val="Funotentext"/>
      </w:pPr>
      <w:r w:rsidRPr="00FE7655">
        <w:rPr>
          <w:rStyle w:val="Funotenzeichen"/>
          <w:rFonts w:ascii="Arial" w:hAnsi="Arial" w:cs="Arial"/>
          <w:sz w:val="20"/>
          <w:szCs w:val="20"/>
        </w:rPr>
        <w:footnoteRef/>
      </w:r>
      <w:r w:rsidRPr="00FE7655">
        <w:rPr>
          <w:rFonts w:ascii="Arial" w:hAnsi="Arial" w:cs="Arial"/>
          <w:sz w:val="20"/>
          <w:szCs w:val="20"/>
        </w:rPr>
        <w:t xml:space="preserve"> </w:t>
      </w:r>
      <w:proofErr w:type="spellStart"/>
      <w:r w:rsidRPr="00FE7655">
        <w:rPr>
          <w:rFonts w:ascii="Arial" w:hAnsi="Arial" w:cs="Arial"/>
          <w:sz w:val="20"/>
          <w:szCs w:val="20"/>
        </w:rPr>
        <w:t>BBl</w:t>
      </w:r>
      <w:proofErr w:type="spellEnd"/>
      <w:r w:rsidRPr="00FE7655">
        <w:rPr>
          <w:rFonts w:ascii="Arial" w:hAnsi="Arial" w:cs="Arial"/>
          <w:sz w:val="20"/>
          <w:szCs w:val="20"/>
        </w:rPr>
        <w:t xml:space="preserve"> 2009 5098.</w:t>
      </w:r>
    </w:p>
  </w:footnote>
  <w:footnote w:id="13">
    <w:p w14:paraId="115C6FBF" w14:textId="77777777" w:rsidR="001535FF" w:rsidRPr="00FE7655" w:rsidRDefault="001535FF" w:rsidP="001535FF">
      <w:pPr>
        <w:pStyle w:val="Funotentext"/>
        <w:rPr>
          <w:rFonts w:ascii="Arial" w:hAnsi="Arial" w:cs="Arial"/>
          <w:sz w:val="20"/>
          <w:szCs w:val="20"/>
        </w:rPr>
      </w:pPr>
      <w:r>
        <w:rPr>
          <w:rStyle w:val="Funotenzeichen"/>
        </w:rPr>
        <w:footnoteRef/>
      </w:r>
      <w:r>
        <w:t xml:space="preserve"> </w:t>
      </w:r>
      <w:r w:rsidRPr="00FE7655">
        <w:rPr>
          <w:rFonts w:ascii="Arial" w:hAnsi="Arial" w:cs="Arial"/>
          <w:sz w:val="20"/>
          <w:szCs w:val="20"/>
        </w:rPr>
        <w:t xml:space="preserve">So die Botschaft zur neuen Bundesverfassung: </w:t>
      </w:r>
      <w:proofErr w:type="spellStart"/>
      <w:r w:rsidRPr="00FE7655">
        <w:rPr>
          <w:rFonts w:ascii="Arial" w:hAnsi="Arial" w:cs="Arial"/>
          <w:sz w:val="20"/>
          <w:szCs w:val="20"/>
        </w:rPr>
        <w:t>BBl</w:t>
      </w:r>
      <w:proofErr w:type="spellEnd"/>
      <w:r w:rsidRPr="00FE7655">
        <w:rPr>
          <w:rFonts w:ascii="Arial" w:hAnsi="Arial" w:cs="Arial"/>
          <w:sz w:val="20"/>
          <w:szCs w:val="20"/>
        </w:rPr>
        <w:t xml:space="preserve"> 1997 I 445.</w:t>
      </w:r>
    </w:p>
  </w:footnote>
  <w:footnote w:id="14">
    <w:p w14:paraId="2237B36D" w14:textId="77777777" w:rsidR="001535FF" w:rsidRPr="00FE7655" w:rsidRDefault="001535FF" w:rsidP="001535FF">
      <w:pPr>
        <w:pStyle w:val="Funotentext"/>
        <w:rPr>
          <w:rFonts w:ascii="Arial" w:hAnsi="Arial" w:cs="Arial"/>
          <w:sz w:val="20"/>
          <w:szCs w:val="20"/>
        </w:rPr>
      </w:pPr>
      <w:r w:rsidRPr="00FE7655">
        <w:rPr>
          <w:rStyle w:val="Funotenzeichen"/>
          <w:rFonts w:ascii="Arial" w:hAnsi="Arial" w:cs="Arial"/>
          <w:sz w:val="20"/>
          <w:szCs w:val="20"/>
        </w:rPr>
        <w:footnoteRef/>
      </w:r>
      <w:r w:rsidRPr="00FE7655">
        <w:rPr>
          <w:rFonts w:ascii="Arial" w:hAnsi="Arial" w:cs="Arial"/>
          <w:sz w:val="20"/>
          <w:szCs w:val="20"/>
        </w:rPr>
        <w:t xml:space="preserve"> </w:t>
      </w:r>
      <w:proofErr w:type="spellStart"/>
      <w:r w:rsidRPr="00FE7655">
        <w:rPr>
          <w:rFonts w:ascii="Arial" w:hAnsi="Arial" w:cs="Arial"/>
          <w:sz w:val="20"/>
          <w:szCs w:val="20"/>
        </w:rPr>
        <w:t>BBl</w:t>
      </w:r>
      <w:proofErr w:type="spellEnd"/>
      <w:r w:rsidRPr="00FE7655">
        <w:rPr>
          <w:rFonts w:ascii="Arial" w:hAnsi="Arial" w:cs="Arial"/>
          <w:sz w:val="20"/>
          <w:szCs w:val="20"/>
        </w:rPr>
        <w:t xml:space="preserve"> 1955 II 334 ff.</w:t>
      </w:r>
    </w:p>
  </w:footnote>
  <w:footnote w:id="15">
    <w:p w14:paraId="179E2B67" w14:textId="695BE0C0" w:rsidR="00C24E93" w:rsidRPr="00B1456D" w:rsidRDefault="00C24E93" w:rsidP="00C24E93">
      <w:pPr>
        <w:pStyle w:val="Funotentext"/>
        <w:rPr>
          <w:rFonts w:ascii="Arial" w:hAnsi="Arial" w:cs="Arial"/>
          <w:sz w:val="20"/>
          <w:szCs w:val="20"/>
          <w:lang w:val="en-GB"/>
        </w:rPr>
      </w:pPr>
      <w:r w:rsidRPr="00FE7655">
        <w:rPr>
          <w:rStyle w:val="Funotenzeichen"/>
          <w:rFonts w:ascii="Arial" w:hAnsi="Arial" w:cs="Arial"/>
          <w:sz w:val="20"/>
          <w:szCs w:val="20"/>
        </w:rPr>
        <w:footnoteRef/>
      </w:r>
      <w:r w:rsidRPr="00FE7655">
        <w:rPr>
          <w:rFonts w:ascii="Arial" w:hAnsi="Arial" w:cs="Arial"/>
          <w:sz w:val="20"/>
          <w:szCs w:val="20"/>
        </w:rPr>
        <w:t xml:space="preserve"> </w:t>
      </w:r>
      <w:r w:rsidR="00702764" w:rsidRPr="00FE7655">
        <w:rPr>
          <w:rFonts w:ascii="Arial" w:hAnsi="Arial" w:cs="Arial"/>
          <w:sz w:val="20"/>
          <w:szCs w:val="20"/>
        </w:rPr>
        <w:t xml:space="preserve">BGE 139 I 16 E. 5.2.1. und </w:t>
      </w:r>
      <w:r w:rsidR="00F52E27">
        <w:rPr>
          <w:rFonts w:ascii="Arial" w:hAnsi="Arial" w:cs="Arial"/>
          <w:sz w:val="20"/>
          <w:szCs w:val="20"/>
        </w:rPr>
        <w:t xml:space="preserve">Astrid </w:t>
      </w:r>
      <w:proofErr w:type="spellStart"/>
      <w:r w:rsidR="00F52E27">
        <w:rPr>
          <w:rFonts w:ascii="Arial" w:hAnsi="Arial" w:cs="Arial"/>
          <w:sz w:val="20"/>
          <w:szCs w:val="20"/>
        </w:rPr>
        <w:t>Epiney</w:t>
      </w:r>
      <w:proofErr w:type="spellEnd"/>
      <w:r w:rsidR="00F52E27">
        <w:rPr>
          <w:rFonts w:ascii="Arial" w:hAnsi="Arial" w:cs="Arial"/>
          <w:sz w:val="20"/>
          <w:szCs w:val="20"/>
        </w:rPr>
        <w:t xml:space="preserve">/Stefan </w:t>
      </w:r>
      <w:proofErr w:type="spellStart"/>
      <w:r w:rsidR="00F52E27">
        <w:rPr>
          <w:rFonts w:ascii="Arial" w:hAnsi="Arial" w:cs="Arial"/>
          <w:sz w:val="20"/>
          <w:szCs w:val="20"/>
        </w:rPr>
        <w:t>Diezig,</w:t>
      </w:r>
      <w:r w:rsidR="00293043">
        <w:rPr>
          <w:rFonts w:ascii="Arial" w:hAnsi="Arial" w:cs="Arial"/>
          <w:sz w:val="20"/>
          <w:szCs w:val="20"/>
        </w:rPr>
        <w:t>in</w:t>
      </w:r>
      <w:proofErr w:type="spellEnd"/>
      <w:r w:rsidR="00293043">
        <w:rPr>
          <w:rFonts w:ascii="Arial" w:hAnsi="Arial" w:cs="Arial"/>
          <w:sz w:val="20"/>
          <w:szCs w:val="20"/>
        </w:rPr>
        <w:t>:</w:t>
      </w:r>
      <w:r w:rsidR="00F52E27">
        <w:rPr>
          <w:rFonts w:ascii="Arial" w:hAnsi="Arial" w:cs="Arial"/>
          <w:sz w:val="20"/>
          <w:szCs w:val="20"/>
        </w:rPr>
        <w:t xml:space="preserve"> Wald</w:t>
      </w:r>
      <w:r w:rsidR="00293043">
        <w:rPr>
          <w:rFonts w:ascii="Arial" w:hAnsi="Arial" w:cs="Arial"/>
          <w:sz w:val="20"/>
          <w:szCs w:val="20"/>
        </w:rPr>
        <w:t>mann/</w:t>
      </w:r>
      <w:proofErr w:type="spellStart"/>
      <w:r w:rsidR="00293043">
        <w:rPr>
          <w:rFonts w:ascii="Arial" w:hAnsi="Arial" w:cs="Arial"/>
          <w:sz w:val="20"/>
          <w:szCs w:val="20"/>
        </w:rPr>
        <w:t>Belser</w:t>
      </w:r>
      <w:proofErr w:type="spellEnd"/>
      <w:r w:rsidR="00293043">
        <w:rPr>
          <w:rFonts w:ascii="Arial" w:hAnsi="Arial" w:cs="Arial"/>
          <w:sz w:val="20"/>
          <w:szCs w:val="20"/>
        </w:rPr>
        <w:t>/</w:t>
      </w:r>
      <w:proofErr w:type="spellStart"/>
      <w:r w:rsidR="00293043">
        <w:rPr>
          <w:rFonts w:ascii="Arial" w:hAnsi="Arial" w:cs="Arial"/>
          <w:sz w:val="20"/>
          <w:szCs w:val="20"/>
        </w:rPr>
        <w:t>Epiney</w:t>
      </w:r>
      <w:proofErr w:type="spellEnd"/>
      <w:r w:rsidR="00293043">
        <w:rPr>
          <w:rFonts w:ascii="Arial" w:hAnsi="Arial" w:cs="Arial"/>
          <w:sz w:val="20"/>
          <w:szCs w:val="20"/>
        </w:rPr>
        <w:t xml:space="preserve"> (</w:t>
      </w:r>
      <w:proofErr w:type="spellStart"/>
      <w:r w:rsidR="00293043">
        <w:rPr>
          <w:rFonts w:ascii="Arial" w:hAnsi="Arial" w:cs="Arial"/>
          <w:sz w:val="20"/>
          <w:szCs w:val="20"/>
        </w:rPr>
        <w:t>Hg</w:t>
      </w:r>
      <w:proofErr w:type="spellEnd"/>
      <w:r w:rsidR="00293043">
        <w:rPr>
          <w:rFonts w:ascii="Arial" w:hAnsi="Arial" w:cs="Arial"/>
          <w:sz w:val="20"/>
          <w:szCs w:val="20"/>
        </w:rPr>
        <w:t>.), Basler Kommentar zur Bundesverfassung, Basel 2015</w:t>
      </w:r>
      <w:r w:rsidRPr="00FE7655">
        <w:rPr>
          <w:rFonts w:ascii="Arial" w:hAnsi="Arial" w:cs="Arial"/>
          <w:sz w:val="20"/>
          <w:szCs w:val="20"/>
          <w:lang w:val="de-CH"/>
        </w:rPr>
        <w:t>, Art. 139 N 38 und N 48 f. m</w:t>
      </w:r>
      <w:r w:rsidR="0022028B">
        <w:rPr>
          <w:rFonts w:ascii="Arial" w:hAnsi="Arial" w:cs="Arial"/>
          <w:sz w:val="20"/>
          <w:szCs w:val="20"/>
          <w:lang w:val="de-CH"/>
        </w:rPr>
        <w:t>it Hinweisen</w:t>
      </w:r>
      <w:r w:rsidR="00293043">
        <w:rPr>
          <w:rFonts w:ascii="Arial" w:hAnsi="Arial" w:cs="Arial"/>
          <w:sz w:val="20"/>
          <w:szCs w:val="20"/>
          <w:lang w:val="de-CH"/>
        </w:rPr>
        <w:t xml:space="preserve"> (zit. </w:t>
      </w:r>
      <w:r w:rsidR="00293043" w:rsidRPr="00B1456D">
        <w:rPr>
          <w:rFonts w:ascii="Arial" w:hAnsi="Arial" w:cs="Arial"/>
          <w:sz w:val="20"/>
          <w:szCs w:val="20"/>
          <w:lang w:val="en-GB"/>
        </w:rPr>
        <w:t>BSK BV – Epiney/Diezig)</w:t>
      </w:r>
      <w:r w:rsidR="0022028B" w:rsidRPr="00B1456D">
        <w:rPr>
          <w:rFonts w:ascii="Arial" w:hAnsi="Arial" w:cs="Arial"/>
          <w:sz w:val="20"/>
          <w:szCs w:val="20"/>
          <w:lang w:val="en-GB"/>
        </w:rPr>
        <w:t>.</w:t>
      </w:r>
    </w:p>
  </w:footnote>
  <w:footnote w:id="16">
    <w:p w14:paraId="3AF1EC1F" w14:textId="77777777" w:rsidR="005F28F1" w:rsidRPr="00B1456D" w:rsidRDefault="005F28F1" w:rsidP="005F28F1">
      <w:pPr>
        <w:pStyle w:val="Funotentext"/>
        <w:rPr>
          <w:lang w:val="en-GB"/>
        </w:rPr>
      </w:pPr>
      <w:r w:rsidRPr="00FE7655">
        <w:rPr>
          <w:rStyle w:val="Funotenzeichen"/>
          <w:rFonts w:ascii="Arial" w:hAnsi="Arial" w:cs="Arial"/>
          <w:sz w:val="20"/>
          <w:szCs w:val="20"/>
        </w:rPr>
        <w:footnoteRef/>
      </w:r>
      <w:r w:rsidRPr="00B1456D">
        <w:rPr>
          <w:rFonts w:ascii="Arial" w:hAnsi="Arial" w:cs="Arial"/>
          <w:sz w:val="20"/>
          <w:szCs w:val="20"/>
          <w:lang w:val="en-GB"/>
        </w:rPr>
        <w:t xml:space="preserve"> BSK BV – Epiney/Diezig, Art. 139 N 45.</w:t>
      </w:r>
    </w:p>
  </w:footnote>
  <w:footnote w:id="17">
    <w:p w14:paraId="475F997E" w14:textId="58CC733D" w:rsidR="00232D9E" w:rsidRPr="00FE7655" w:rsidRDefault="00232D9E" w:rsidP="00232D9E">
      <w:pPr>
        <w:pStyle w:val="Funotentext"/>
        <w:rPr>
          <w:rFonts w:ascii="Arial" w:hAnsi="Arial" w:cs="Arial"/>
          <w:sz w:val="20"/>
          <w:szCs w:val="20"/>
        </w:rPr>
      </w:pPr>
      <w:r>
        <w:rPr>
          <w:rStyle w:val="Funotenzeichen"/>
        </w:rPr>
        <w:footnoteRef/>
      </w:r>
      <w:r w:rsidR="00FE7E32">
        <w:t xml:space="preserve"> </w:t>
      </w:r>
      <w:proofErr w:type="spellStart"/>
      <w:r w:rsidR="00FE7E32" w:rsidRPr="00FE7655">
        <w:rPr>
          <w:rFonts w:ascii="Arial" w:hAnsi="Arial" w:cs="Arial"/>
          <w:sz w:val="20"/>
          <w:szCs w:val="20"/>
        </w:rPr>
        <w:t>Fn</w:t>
      </w:r>
      <w:proofErr w:type="spellEnd"/>
      <w:r w:rsidR="00FE7E32" w:rsidRPr="00FE7655">
        <w:rPr>
          <w:rFonts w:ascii="Arial" w:hAnsi="Arial" w:cs="Arial"/>
          <w:sz w:val="20"/>
          <w:szCs w:val="20"/>
        </w:rPr>
        <w:t xml:space="preserve"> 9</w:t>
      </w:r>
      <w:r w:rsidR="00293043">
        <w:rPr>
          <w:rFonts w:ascii="Arial" w:hAnsi="Arial" w:cs="Arial"/>
          <w:sz w:val="20"/>
          <w:szCs w:val="20"/>
        </w:rPr>
        <w:t xml:space="preserve"> oben</w:t>
      </w:r>
      <w:r w:rsidRPr="00FE7655">
        <w:rPr>
          <w:rFonts w:ascii="Arial" w:hAnsi="Arial" w:cs="Arial"/>
          <w:sz w:val="20"/>
          <w:szCs w:val="20"/>
        </w:rPr>
        <w:t>.</w:t>
      </w:r>
    </w:p>
  </w:footnote>
  <w:footnote w:id="18">
    <w:p w14:paraId="399052A3" w14:textId="77777777" w:rsidR="00232D9E" w:rsidRPr="00FE7655" w:rsidRDefault="00232D9E" w:rsidP="00232D9E">
      <w:pPr>
        <w:pStyle w:val="Funotentext"/>
        <w:rPr>
          <w:rFonts w:ascii="Arial" w:hAnsi="Arial" w:cs="Arial"/>
          <w:sz w:val="20"/>
          <w:szCs w:val="20"/>
        </w:rPr>
      </w:pPr>
      <w:r w:rsidRPr="00FE7655">
        <w:rPr>
          <w:rStyle w:val="Funotenzeichen"/>
          <w:rFonts w:ascii="Arial" w:hAnsi="Arial" w:cs="Arial"/>
          <w:sz w:val="20"/>
          <w:szCs w:val="20"/>
        </w:rPr>
        <w:footnoteRef/>
      </w:r>
      <w:r w:rsidRPr="00FE7655">
        <w:rPr>
          <w:rFonts w:ascii="Arial" w:hAnsi="Arial" w:cs="Arial"/>
          <w:sz w:val="20"/>
          <w:szCs w:val="20"/>
        </w:rPr>
        <w:t xml:space="preserve"> So der Zusatzbericht des Bundesrates vom 30, März 2011 zu seinem Bericht vom 5. März 2010 über das Verhältnis von Völkerrecht und Landesrecht, </w:t>
      </w:r>
      <w:proofErr w:type="spellStart"/>
      <w:r w:rsidRPr="00FE7655">
        <w:rPr>
          <w:rFonts w:ascii="Arial" w:hAnsi="Arial" w:cs="Arial"/>
          <w:sz w:val="20"/>
          <w:szCs w:val="20"/>
        </w:rPr>
        <w:t>BBl</w:t>
      </w:r>
      <w:proofErr w:type="spellEnd"/>
      <w:r w:rsidRPr="00FE7655">
        <w:rPr>
          <w:rFonts w:ascii="Arial" w:hAnsi="Arial" w:cs="Arial"/>
          <w:sz w:val="20"/>
          <w:szCs w:val="20"/>
        </w:rPr>
        <w:t xml:space="preserve"> 2011 3619.</w:t>
      </w:r>
    </w:p>
  </w:footnote>
  <w:footnote w:id="19">
    <w:p w14:paraId="7B99AEA7" w14:textId="6E081E5C" w:rsidR="004E70D7" w:rsidRPr="004E70D7" w:rsidRDefault="004E70D7">
      <w:pPr>
        <w:pStyle w:val="Funotentext"/>
        <w:rPr>
          <w:rFonts w:ascii="Arial" w:hAnsi="Arial" w:cs="Arial"/>
          <w:sz w:val="20"/>
          <w:szCs w:val="20"/>
          <w:lang w:val="de-CH"/>
        </w:rPr>
      </w:pPr>
      <w:r>
        <w:rPr>
          <w:rStyle w:val="Funotenzeichen"/>
        </w:rPr>
        <w:footnoteRef/>
      </w:r>
      <w:r>
        <w:t xml:space="preserve"> </w:t>
      </w:r>
      <w:r w:rsidRPr="004E70D7">
        <w:rPr>
          <w:rFonts w:ascii="Arial" w:hAnsi="Arial" w:cs="Arial"/>
          <w:sz w:val="20"/>
          <w:szCs w:val="20"/>
          <w:lang w:val="de-CH"/>
        </w:rPr>
        <w:t>Oben 2.1.</w:t>
      </w:r>
    </w:p>
  </w:footnote>
  <w:footnote w:id="20">
    <w:p w14:paraId="70BF0536" w14:textId="36D321FA" w:rsidR="00232D9E" w:rsidRPr="00FE7655" w:rsidRDefault="00232D9E" w:rsidP="00232D9E">
      <w:pPr>
        <w:pStyle w:val="Funotentext"/>
        <w:rPr>
          <w:rFonts w:ascii="Arial" w:hAnsi="Arial" w:cs="Arial"/>
          <w:sz w:val="20"/>
          <w:szCs w:val="20"/>
        </w:rPr>
      </w:pPr>
      <w:r w:rsidRPr="00FE7655">
        <w:rPr>
          <w:rStyle w:val="Funotenzeichen"/>
          <w:rFonts w:ascii="Arial" w:hAnsi="Arial" w:cs="Arial"/>
          <w:sz w:val="20"/>
          <w:szCs w:val="20"/>
        </w:rPr>
        <w:footnoteRef/>
      </w:r>
      <w:r w:rsidR="004E70D7">
        <w:rPr>
          <w:rFonts w:ascii="Arial" w:hAnsi="Arial" w:cs="Arial"/>
          <w:sz w:val="20"/>
          <w:szCs w:val="20"/>
        </w:rPr>
        <w:t xml:space="preserve"> </w:t>
      </w:r>
      <w:proofErr w:type="spellStart"/>
      <w:r w:rsidR="004E70D7">
        <w:rPr>
          <w:rFonts w:ascii="Arial" w:hAnsi="Arial" w:cs="Arial"/>
          <w:sz w:val="20"/>
          <w:szCs w:val="20"/>
        </w:rPr>
        <w:t>Fn</w:t>
      </w:r>
      <w:proofErr w:type="spellEnd"/>
      <w:r w:rsidR="004E70D7">
        <w:rPr>
          <w:rFonts w:ascii="Arial" w:hAnsi="Arial" w:cs="Arial"/>
          <w:sz w:val="20"/>
          <w:szCs w:val="20"/>
        </w:rPr>
        <w:t xml:space="preserve"> 7 oben</w:t>
      </w:r>
      <w:r w:rsidRPr="00FE7655">
        <w:rPr>
          <w:rFonts w:ascii="Arial" w:hAnsi="Arial" w:cs="Arial"/>
          <w:sz w:val="20"/>
          <w:szCs w:val="20"/>
        </w:rPr>
        <w:t>.</w:t>
      </w:r>
    </w:p>
  </w:footnote>
  <w:footnote w:id="21">
    <w:p w14:paraId="0771B349" w14:textId="77777777" w:rsidR="007836CB" w:rsidRDefault="007836CB" w:rsidP="007836CB">
      <w:pPr>
        <w:pStyle w:val="Funotentext"/>
      </w:pPr>
      <w:r w:rsidRPr="00FE7655">
        <w:rPr>
          <w:rStyle w:val="Funotenzeichen"/>
          <w:rFonts w:ascii="Arial" w:hAnsi="Arial" w:cs="Arial"/>
          <w:sz w:val="20"/>
          <w:szCs w:val="20"/>
        </w:rPr>
        <w:footnoteRef/>
      </w:r>
      <w:r w:rsidRPr="00FE7655">
        <w:rPr>
          <w:rFonts w:ascii="Arial" w:hAnsi="Arial" w:cs="Arial"/>
          <w:sz w:val="20"/>
          <w:szCs w:val="20"/>
        </w:rPr>
        <w:t xml:space="preserve"> In: </w:t>
      </w:r>
      <w:proofErr w:type="spellStart"/>
      <w:r w:rsidRPr="00FE7655">
        <w:rPr>
          <w:rFonts w:ascii="Arial" w:hAnsi="Arial" w:cs="Arial"/>
          <w:sz w:val="20"/>
          <w:szCs w:val="20"/>
          <w:lang w:val="de-CH"/>
        </w:rPr>
        <w:t>Faktizität</w:t>
      </w:r>
      <w:proofErr w:type="spellEnd"/>
      <w:r w:rsidRPr="00FE7655">
        <w:rPr>
          <w:rFonts w:ascii="Arial" w:hAnsi="Arial" w:cs="Arial"/>
          <w:sz w:val="20"/>
          <w:szCs w:val="20"/>
          <w:lang w:val="de-CH"/>
        </w:rPr>
        <w:t xml:space="preserve"> und Geltung, Frankfurt a. M. 1992.</w:t>
      </w:r>
    </w:p>
  </w:footnote>
  <w:footnote w:id="22">
    <w:p w14:paraId="2FF7B1BD" w14:textId="77777777" w:rsidR="007836CB" w:rsidRPr="00FE7655" w:rsidRDefault="007836CB" w:rsidP="007836CB">
      <w:pPr>
        <w:pStyle w:val="Funotentext"/>
        <w:rPr>
          <w:rFonts w:ascii="Arial" w:hAnsi="Arial" w:cs="Arial"/>
          <w:sz w:val="20"/>
          <w:szCs w:val="20"/>
        </w:rPr>
      </w:pPr>
      <w:r>
        <w:rPr>
          <w:rStyle w:val="Funotenzeichen"/>
        </w:rPr>
        <w:footnoteRef/>
      </w:r>
      <w:r>
        <w:t xml:space="preserve"> </w:t>
      </w:r>
      <w:r w:rsidRPr="00FE7655">
        <w:rPr>
          <w:rFonts w:ascii="Arial" w:hAnsi="Arial" w:cs="Arial"/>
          <w:sz w:val="20"/>
          <w:szCs w:val="20"/>
        </w:rPr>
        <w:t>Der demokratische Rechtsstaat – eine paradoxe Verbindung widersprüchlicher Prinzipien?, in: Zeit der Übergänge – Kleine politische Schriften IX, Suhrkamp 2001, S. 151.</w:t>
      </w:r>
    </w:p>
  </w:footnote>
  <w:footnote w:id="23">
    <w:p w14:paraId="4C6A7EAB" w14:textId="63CE6F25" w:rsidR="007836CB" w:rsidRDefault="007836CB" w:rsidP="007836CB">
      <w:pPr>
        <w:pStyle w:val="Funotentext"/>
      </w:pPr>
      <w:r w:rsidRPr="00FE7655">
        <w:rPr>
          <w:rStyle w:val="Funotenzeichen"/>
          <w:rFonts w:ascii="Arial" w:hAnsi="Arial" w:cs="Arial"/>
          <w:sz w:val="20"/>
          <w:szCs w:val="20"/>
        </w:rPr>
        <w:footnoteRef/>
      </w:r>
      <w:r w:rsidRPr="00FE7655">
        <w:rPr>
          <w:rFonts w:ascii="Arial" w:hAnsi="Arial" w:cs="Arial"/>
          <w:sz w:val="20"/>
          <w:szCs w:val="20"/>
        </w:rPr>
        <w:t xml:space="preserve"> Habermas, </w:t>
      </w:r>
      <w:proofErr w:type="spellStart"/>
      <w:r w:rsidRPr="00FE7655">
        <w:rPr>
          <w:rFonts w:ascii="Arial" w:hAnsi="Arial" w:cs="Arial"/>
          <w:sz w:val="20"/>
          <w:szCs w:val="20"/>
        </w:rPr>
        <w:t>Fn</w:t>
      </w:r>
      <w:proofErr w:type="spellEnd"/>
      <w:r w:rsidRPr="00FE7655">
        <w:rPr>
          <w:rFonts w:ascii="Arial" w:hAnsi="Arial" w:cs="Arial"/>
          <w:sz w:val="20"/>
          <w:szCs w:val="20"/>
        </w:rPr>
        <w:t xml:space="preserve"> 2</w:t>
      </w:r>
      <w:r w:rsidR="004E70D7">
        <w:rPr>
          <w:rFonts w:ascii="Arial" w:hAnsi="Arial" w:cs="Arial"/>
          <w:sz w:val="20"/>
          <w:szCs w:val="20"/>
        </w:rPr>
        <w:t>1</w:t>
      </w:r>
      <w:r w:rsidRPr="00FE7655">
        <w:rPr>
          <w:rFonts w:ascii="Arial" w:hAnsi="Arial" w:cs="Arial"/>
          <w:sz w:val="20"/>
          <w:szCs w:val="20"/>
        </w:rPr>
        <w:t xml:space="preserve">, S. 151 ff., wandelt das ab unter dem Zwischentitel </w:t>
      </w:r>
      <w:r w:rsidR="004E70D7">
        <w:rPr>
          <w:rFonts w:ascii="Arial" w:hAnsi="Arial" w:cs="Arial"/>
          <w:sz w:val="20"/>
          <w:szCs w:val="20"/>
        </w:rPr>
        <w:t>„</w:t>
      </w:r>
      <w:r w:rsidRPr="00FE7655">
        <w:rPr>
          <w:rFonts w:ascii="Arial" w:hAnsi="Arial" w:cs="Arial"/>
          <w:sz w:val="20"/>
          <w:szCs w:val="20"/>
        </w:rPr>
        <w:t>Diskurstheoretische Begründung der Grundrechte: Diskursprinzip, Rechtsform und Demokratieprinzip</w:t>
      </w:r>
      <w:r w:rsidR="004E70D7">
        <w:rPr>
          <w:rFonts w:ascii="Arial" w:hAnsi="Arial" w:cs="Arial"/>
          <w:sz w:val="20"/>
          <w:szCs w:val="20"/>
        </w:rPr>
        <w:t>“</w:t>
      </w:r>
      <w:r w:rsidRPr="00FE7655">
        <w:rPr>
          <w:rFonts w:ascii="Arial" w:hAnsi="Arial" w:cs="Arial"/>
          <w:sz w:val="20"/>
          <w:szCs w:val="20"/>
        </w:rPr>
        <w:t xml:space="preserve">. Er spricht insbesondere von Grundrechten, die sich aus der politisch autonomen Ausgestaltung des Rechts auf das </w:t>
      </w:r>
      <w:proofErr w:type="spellStart"/>
      <w:r w:rsidRPr="00FE7655">
        <w:rPr>
          <w:rFonts w:ascii="Arial" w:hAnsi="Arial" w:cs="Arial"/>
          <w:sz w:val="20"/>
          <w:szCs w:val="20"/>
        </w:rPr>
        <w:t>grösstmögliche</w:t>
      </w:r>
      <w:proofErr w:type="spellEnd"/>
      <w:r w:rsidRPr="00FE7655">
        <w:rPr>
          <w:rFonts w:ascii="Arial" w:hAnsi="Arial" w:cs="Arial"/>
          <w:sz w:val="20"/>
          <w:szCs w:val="20"/>
        </w:rPr>
        <w:t xml:space="preserve"> </w:t>
      </w:r>
      <w:proofErr w:type="spellStart"/>
      <w:r w:rsidRPr="00FE7655">
        <w:rPr>
          <w:rFonts w:ascii="Arial" w:hAnsi="Arial" w:cs="Arial"/>
          <w:sz w:val="20"/>
          <w:szCs w:val="20"/>
        </w:rPr>
        <w:t>Mass</w:t>
      </w:r>
      <w:proofErr w:type="spellEnd"/>
      <w:r w:rsidRPr="00FE7655">
        <w:rPr>
          <w:rFonts w:ascii="Arial" w:hAnsi="Arial" w:cs="Arial"/>
          <w:sz w:val="20"/>
          <w:szCs w:val="20"/>
        </w:rPr>
        <w:t xml:space="preserve"> gleicher subjektiver Handlungsfreiheiten ergeben, und von Grundrechten auf die chancengleiche Teilnahme an Prozessen der Meinungs- und Willen</w:t>
      </w:r>
      <w:r w:rsidR="002A522F">
        <w:rPr>
          <w:rFonts w:ascii="Arial" w:hAnsi="Arial" w:cs="Arial"/>
          <w:sz w:val="20"/>
          <w:szCs w:val="20"/>
        </w:rPr>
        <w:t>s</w:t>
      </w:r>
      <w:r w:rsidRPr="00FE7655">
        <w:rPr>
          <w:rFonts w:ascii="Arial" w:hAnsi="Arial" w:cs="Arial"/>
          <w:sz w:val="20"/>
          <w:szCs w:val="20"/>
        </w:rPr>
        <w:t>bildung,  und hält fest (S. 161): „Wenn man das System der Rechte auf diese Weise einführt, wird die Zusammengehörigkeit von Volkssouveränität und Menschenrechten, also die Gleichursprünglichkeit von politischer und privater Autonomie verständlich“.</w:t>
      </w:r>
    </w:p>
  </w:footnote>
  <w:footnote w:id="24">
    <w:p w14:paraId="028DDCD6" w14:textId="5DEBA7CA" w:rsidR="00FE7655" w:rsidRPr="00FE7655" w:rsidRDefault="00FE7655">
      <w:pPr>
        <w:pStyle w:val="Funotentext"/>
        <w:rPr>
          <w:lang w:val="de-CH"/>
        </w:rPr>
      </w:pPr>
      <w:r>
        <w:rPr>
          <w:rStyle w:val="Funotenzeichen"/>
        </w:rPr>
        <w:footnoteRef/>
      </w:r>
      <w:r>
        <w:t xml:space="preserve"> </w:t>
      </w:r>
      <w:r w:rsidRPr="00FE7655">
        <w:rPr>
          <w:rFonts w:ascii="Arial" w:hAnsi="Arial" w:cs="Arial"/>
          <w:sz w:val="20"/>
          <w:szCs w:val="20"/>
          <w:lang w:val="de-CH"/>
        </w:rPr>
        <w:t>Art. 188 Abs. 1 BV.</w:t>
      </w:r>
    </w:p>
  </w:footnote>
  <w:footnote w:id="25">
    <w:p w14:paraId="789E319B" w14:textId="1720632C" w:rsidR="007836CB" w:rsidRPr="007A03AD" w:rsidRDefault="007836CB" w:rsidP="00EB7410">
      <w:pPr>
        <w:pStyle w:val="Endnotentext"/>
        <w:rPr>
          <w:rFonts w:ascii="Arial" w:hAnsi="Arial" w:cs="Arial"/>
          <w:sz w:val="20"/>
          <w:szCs w:val="20"/>
          <w:lang w:val="de-CH"/>
        </w:rPr>
      </w:pPr>
      <w:r>
        <w:rPr>
          <w:rStyle w:val="Funotenzeichen"/>
        </w:rPr>
        <w:footnoteRef/>
      </w:r>
      <w:r>
        <w:t xml:space="preserve"> </w:t>
      </w:r>
      <w:r w:rsidRPr="007A03AD">
        <w:rPr>
          <w:rFonts w:ascii="Arial" w:hAnsi="Arial" w:cs="Arial"/>
          <w:sz w:val="20"/>
          <w:szCs w:val="20"/>
          <w:lang w:val="de-CH"/>
        </w:rPr>
        <w:t xml:space="preserve">Dazu BSK BV – </w:t>
      </w:r>
      <w:proofErr w:type="spellStart"/>
      <w:r w:rsidRPr="007A03AD">
        <w:rPr>
          <w:rFonts w:ascii="Arial" w:hAnsi="Arial" w:cs="Arial"/>
          <w:sz w:val="20"/>
          <w:szCs w:val="20"/>
          <w:lang w:val="de-CH"/>
        </w:rPr>
        <w:t>Epiney</w:t>
      </w:r>
      <w:proofErr w:type="spellEnd"/>
      <w:r w:rsidRPr="007A03AD">
        <w:rPr>
          <w:rFonts w:ascii="Arial" w:hAnsi="Arial" w:cs="Arial"/>
          <w:sz w:val="20"/>
          <w:szCs w:val="20"/>
          <w:lang w:val="de-CH"/>
        </w:rPr>
        <w:t>/</w:t>
      </w:r>
      <w:proofErr w:type="spellStart"/>
      <w:r w:rsidRPr="007A03AD">
        <w:rPr>
          <w:rFonts w:ascii="Arial" w:hAnsi="Arial" w:cs="Arial"/>
          <w:sz w:val="20"/>
          <w:szCs w:val="20"/>
          <w:lang w:val="de-CH"/>
        </w:rPr>
        <w:t>Diezig</w:t>
      </w:r>
      <w:proofErr w:type="spellEnd"/>
      <w:r w:rsidRPr="007A03AD">
        <w:rPr>
          <w:rFonts w:ascii="Arial" w:hAnsi="Arial" w:cs="Arial"/>
          <w:sz w:val="20"/>
          <w:szCs w:val="20"/>
          <w:lang w:val="de-CH"/>
        </w:rPr>
        <w:t xml:space="preserve">, Art. 138 N 10 f., wo bei </w:t>
      </w:r>
      <w:r w:rsidR="007A03AD">
        <w:rPr>
          <w:rFonts w:ascii="Arial" w:hAnsi="Arial" w:cs="Arial"/>
          <w:sz w:val="20"/>
          <w:szCs w:val="20"/>
          <w:lang w:val="de-CH"/>
        </w:rPr>
        <w:t xml:space="preserve">der Totalrevision nach Art. 138 BV </w:t>
      </w:r>
      <w:r w:rsidRPr="007A03AD">
        <w:rPr>
          <w:rFonts w:ascii="Arial" w:hAnsi="Arial" w:cs="Arial"/>
          <w:sz w:val="20"/>
          <w:szCs w:val="20"/>
          <w:lang w:val="de-CH"/>
        </w:rPr>
        <w:t>von einem rein formellen Kriterium ausgegangen wird, im Zusammenhang mit dem Grundsatz der Einheit der Materie jedoch zutreffend auch inhaltliche Aspekte gesehen werden.</w:t>
      </w:r>
    </w:p>
  </w:footnote>
  <w:footnote w:id="26">
    <w:p w14:paraId="4969D939" w14:textId="43A13DA6" w:rsidR="00AB6AFB" w:rsidRPr="007A03AD" w:rsidRDefault="00AB6AFB">
      <w:pPr>
        <w:pStyle w:val="Funotentext"/>
        <w:rPr>
          <w:rFonts w:ascii="Arial" w:hAnsi="Arial" w:cs="Arial"/>
          <w:sz w:val="20"/>
          <w:szCs w:val="20"/>
          <w:lang w:val="de-CH"/>
        </w:rPr>
      </w:pPr>
      <w:r w:rsidRPr="007A03AD">
        <w:rPr>
          <w:rStyle w:val="Funotenzeichen"/>
          <w:rFonts w:ascii="Arial" w:hAnsi="Arial" w:cs="Arial"/>
          <w:sz w:val="20"/>
          <w:szCs w:val="20"/>
        </w:rPr>
        <w:footnoteRef/>
      </w:r>
      <w:r w:rsidRPr="007A03AD">
        <w:rPr>
          <w:rFonts w:ascii="Arial" w:hAnsi="Arial" w:cs="Arial"/>
          <w:sz w:val="20"/>
          <w:szCs w:val="20"/>
        </w:rPr>
        <w:t xml:space="preserve"> </w:t>
      </w:r>
      <w:r w:rsidRPr="007A03AD">
        <w:rPr>
          <w:rFonts w:ascii="Arial" w:hAnsi="Arial" w:cs="Arial"/>
          <w:sz w:val="20"/>
          <w:szCs w:val="20"/>
          <w:lang w:val="de-CH"/>
        </w:rPr>
        <w:t xml:space="preserve">Reformbedarf </w:t>
      </w:r>
      <w:r w:rsidR="00800390">
        <w:rPr>
          <w:rFonts w:ascii="Arial" w:hAnsi="Arial" w:cs="Arial"/>
          <w:sz w:val="20"/>
          <w:szCs w:val="20"/>
          <w:lang w:val="de-CH"/>
        </w:rPr>
        <w:t>in vergleichbarem</w:t>
      </w:r>
      <w:r w:rsidR="00ED29A6">
        <w:rPr>
          <w:rFonts w:ascii="Arial" w:hAnsi="Arial" w:cs="Arial"/>
          <w:sz w:val="20"/>
          <w:szCs w:val="20"/>
          <w:lang w:val="de-CH"/>
        </w:rPr>
        <w:t xml:space="preserve"> Sinn </w:t>
      </w:r>
      <w:r w:rsidRPr="007A03AD">
        <w:rPr>
          <w:rFonts w:ascii="Arial" w:hAnsi="Arial" w:cs="Arial"/>
          <w:sz w:val="20"/>
          <w:szCs w:val="20"/>
          <w:lang w:val="de-CH"/>
        </w:rPr>
        <w:t xml:space="preserve">sieht </w:t>
      </w:r>
      <w:r w:rsidR="00EB7410" w:rsidRPr="007A03AD">
        <w:rPr>
          <w:rFonts w:ascii="Arial" w:hAnsi="Arial" w:cs="Arial"/>
          <w:sz w:val="20"/>
          <w:szCs w:val="20"/>
          <w:lang w:val="de-CH"/>
        </w:rPr>
        <w:t xml:space="preserve">u.a. </w:t>
      </w:r>
      <w:r w:rsidRPr="007A03AD">
        <w:rPr>
          <w:rFonts w:ascii="Arial" w:hAnsi="Arial" w:cs="Arial"/>
          <w:sz w:val="20"/>
          <w:szCs w:val="20"/>
          <w:lang w:val="de-CH"/>
        </w:rPr>
        <w:t xml:space="preserve">auch Vincent </w:t>
      </w:r>
      <w:proofErr w:type="spellStart"/>
      <w:r w:rsidRPr="007A03AD">
        <w:rPr>
          <w:rFonts w:ascii="Arial" w:hAnsi="Arial" w:cs="Arial"/>
          <w:sz w:val="20"/>
          <w:szCs w:val="20"/>
          <w:lang w:val="de-CH"/>
        </w:rPr>
        <w:t>Martenet</w:t>
      </w:r>
      <w:proofErr w:type="spellEnd"/>
      <w:r w:rsidRPr="007A03AD">
        <w:rPr>
          <w:rFonts w:ascii="Arial" w:hAnsi="Arial" w:cs="Arial"/>
          <w:sz w:val="20"/>
          <w:szCs w:val="20"/>
          <w:lang w:val="de-CH"/>
        </w:rPr>
        <w:t xml:space="preserve">, La </w:t>
      </w:r>
      <w:proofErr w:type="spellStart"/>
      <w:r w:rsidRPr="007A03AD">
        <w:rPr>
          <w:rFonts w:ascii="Arial" w:hAnsi="Arial" w:cs="Arial"/>
          <w:sz w:val="20"/>
          <w:szCs w:val="20"/>
          <w:lang w:val="de-CH"/>
        </w:rPr>
        <w:t>validité</w:t>
      </w:r>
      <w:proofErr w:type="spellEnd"/>
      <w:r w:rsidRPr="007A03AD">
        <w:rPr>
          <w:rFonts w:ascii="Arial" w:hAnsi="Arial" w:cs="Arial"/>
          <w:sz w:val="20"/>
          <w:szCs w:val="20"/>
          <w:lang w:val="de-CH"/>
        </w:rPr>
        <w:t xml:space="preserve"> des Initiatives </w:t>
      </w:r>
      <w:proofErr w:type="spellStart"/>
      <w:r w:rsidRPr="007A03AD">
        <w:rPr>
          <w:rFonts w:ascii="Arial" w:hAnsi="Arial" w:cs="Arial"/>
          <w:sz w:val="20"/>
          <w:szCs w:val="20"/>
          <w:lang w:val="de-CH"/>
        </w:rPr>
        <w:t>populaires</w:t>
      </w:r>
      <w:proofErr w:type="spellEnd"/>
      <w:r w:rsidRPr="007A03AD">
        <w:rPr>
          <w:rFonts w:ascii="Arial" w:hAnsi="Arial" w:cs="Arial"/>
          <w:sz w:val="20"/>
          <w:szCs w:val="20"/>
          <w:lang w:val="de-CH"/>
        </w:rPr>
        <w:t xml:space="preserve"> </w:t>
      </w:r>
      <w:proofErr w:type="spellStart"/>
      <w:r w:rsidRPr="007A03AD">
        <w:rPr>
          <w:rFonts w:ascii="Arial" w:hAnsi="Arial" w:cs="Arial"/>
          <w:sz w:val="20"/>
          <w:szCs w:val="20"/>
          <w:lang w:val="de-CH"/>
        </w:rPr>
        <w:t>fédérales</w:t>
      </w:r>
      <w:proofErr w:type="spellEnd"/>
      <w:r w:rsidRPr="007A03AD">
        <w:rPr>
          <w:rFonts w:ascii="Arial" w:hAnsi="Arial" w:cs="Arial"/>
          <w:sz w:val="20"/>
          <w:szCs w:val="20"/>
          <w:lang w:val="de-CH"/>
        </w:rPr>
        <w:t>, in FS Auer (</w:t>
      </w:r>
      <w:proofErr w:type="spellStart"/>
      <w:r w:rsidRPr="007A03AD">
        <w:rPr>
          <w:rFonts w:ascii="Arial" w:hAnsi="Arial" w:cs="Arial"/>
          <w:sz w:val="20"/>
          <w:szCs w:val="20"/>
          <w:lang w:val="de-CH"/>
        </w:rPr>
        <w:t>Fn</w:t>
      </w:r>
      <w:proofErr w:type="spellEnd"/>
      <w:r w:rsidRPr="007A03AD">
        <w:rPr>
          <w:rFonts w:ascii="Arial" w:hAnsi="Arial" w:cs="Arial"/>
          <w:sz w:val="20"/>
          <w:szCs w:val="20"/>
          <w:lang w:val="de-CH"/>
        </w:rPr>
        <w:t xml:space="preserve"> 3), S. 149 ff.</w:t>
      </w:r>
    </w:p>
  </w:footnote>
  <w:footnote w:id="27">
    <w:p w14:paraId="3A5FBF50" w14:textId="54A64187" w:rsidR="0022028B" w:rsidRPr="0022028B" w:rsidRDefault="0022028B">
      <w:pPr>
        <w:pStyle w:val="Funotentext"/>
        <w:rPr>
          <w:lang w:val="de-CH"/>
        </w:rPr>
      </w:pPr>
      <w:r>
        <w:rPr>
          <w:rStyle w:val="Funotenzeichen"/>
        </w:rPr>
        <w:footnoteRef/>
      </w:r>
      <w:r>
        <w:t xml:space="preserve"> </w:t>
      </w:r>
      <w:r>
        <w:rPr>
          <w:lang w:val="de-CH"/>
        </w:rPr>
        <w:t xml:space="preserve">Siehe </w:t>
      </w:r>
      <w:r w:rsidRPr="007A03AD">
        <w:rPr>
          <w:rFonts w:ascii="Arial" w:hAnsi="Arial" w:cs="Arial"/>
          <w:sz w:val="20"/>
          <w:szCs w:val="20"/>
          <w:lang w:val="de-CH"/>
        </w:rPr>
        <w:t>BSK B</w:t>
      </w:r>
      <w:r>
        <w:rPr>
          <w:rFonts w:ascii="Arial" w:hAnsi="Arial" w:cs="Arial"/>
          <w:sz w:val="20"/>
          <w:szCs w:val="20"/>
          <w:lang w:val="de-CH"/>
        </w:rPr>
        <w:t xml:space="preserve">V – </w:t>
      </w:r>
      <w:proofErr w:type="spellStart"/>
      <w:r>
        <w:rPr>
          <w:rFonts w:ascii="Arial" w:hAnsi="Arial" w:cs="Arial"/>
          <w:sz w:val="20"/>
          <w:szCs w:val="20"/>
          <w:lang w:val="de-CH"/>
        </w:rPr>
        <w:t>Epiney</w:t>
      </w:r>
      <w:proofErr w:type="spellEnd"/>
      <w:r>
        <w:rPr>
          <w:rFonts w:ascii="Arial" w:hAnsi="Arial" w:cs="Arial"/>
          <w:sz w:val="20"/>
          <w:szCs w:val="20"/>
          <w:lang w:val="de-CH"/>
        </w:rPr>
        <w:t>/</w:t>
      </w:r>
      <w:proofErr w:type="spellStart"/>
      <w:r>
        <w:rPr>
          <w:rFonts w:ascii="Arial" w:hAnsi="Arial" w:cs="Arial"/>
          <w:sz w:val="20"/>
          <w:szCs w:val="20"/>
          <w:lang w:val="de-CH"/>
        </w:rPr>
        <w:t>Diezig</w:t>
      </w:r>
      <w:proofErr w:type="spellEnd"/>
      <w:r>
        <w:rPr>
          <w:rFonts w:ascii="Arial" w:hAnsi="Arial" w:cs="Arial"/>
          <w:sz w:val="20"/>
          <w:szCs w:val="20"/>
          <w:lang w:val="de-CH"/>
        </w:rPr>
        <w:t>, Art. 139 N 39 mit Hinweisen.</w:t>
      </w:r>
    </w:p>
  </w:footnote>
  <w:footnote w:id="28">
    <w:p w14:paraId="17CBB5FC" w14:textId="3DC11BBC" w:rsidR="00387755" w:rsidRPr="00387755" w:rsidRDefault="00387755">
      <w:pPr>
        <w:pStyle w:val="Funotentext"/>
        <w:rPr>
          <w:lang w:val="de-CH"/>
        </w:rPr>
      </w:pPr>
      <w:r w:rsidRPr="007A03AD">
        <w:rPr>
          <w:rStyle w:val="Funotenzeichen"/>
          <w:rFonts w:ascii="Arial" w:hAnsi="Arial" w:cs="Arial"/>
          <w:sz w:val="20"/>
          <w:szCs w:val="20"/>
        </w:rPr>
        <w:footnoteRef/>
      </w:r>
      <w:r w:rsidRPr="007A03AD">
        <w:rPr>
          <w:rFonts w:ascii="Arial" w:hAnsi="Arial" w:cs="Arial"/>
          <w:sz w:val="20"/>
          <w:szCs w:val="20"/>
        </w:rPr>
        <w:t xml:space="preserve"> </w:t>
      </w:r>
      <w:r w:rsidR="007A03AD">
        <w:rPr>
          <w:rFonts w:ascii="Arial" w:hAnsi="Arial" w:cs="Arial"/>
          <w:sz w:val="20"/>
          <w:szCs w:val="20"/>
          <w:lang w:val="de-CH"/>
        </w:rPr>
        <w:t xml:space="preserve">Näher dazu </w:t>
      </w:r>
      <w:r w:rsidR="006E49DD">
        <w:rPr>
          <w:rFonts w:ascii="Arial" w:hAnsi="Arial" w:cs="Arial"/>
          <w:sz w:val="20"/>
          <w:szCs w:val="20"/>
          <w:lang w:val="de-CH"/>
        </w:rPr>
        <w:t>6</w:t>
      </w:r>
      <w:r w:rsidRPr="007A03AD">
        <w:rPr>
          <w:rFonts w:ascii="Arial" w:hAnsi="Arial" w:cs="Arial"/>
          <w:sz w:val="20"/>
          <w:szCs w:val="20"/>
          <w:lang w:val="de-CH"/>
        </w:rPr>
        <w:t xml:space="preserve">.1. </w:t>
      </w:r>
      <w:r w:rsidR="006E49DD">
        <w:rPr>
          <w:rFonts w:ascii="Arial" w:hAnsi="Arial" w:cs="Arial"/>
          <w:sz w:val="20"/>
          <w:szCs w:val="20"/>
          <w:lang w:val="de-CH"/>
        </w:rPr>
        <w:t>unten</w:t>
      </w:r>
      <w:r w:rsidR="007A03AD">
        <w:rPr>
          <w:rFonts w:ascii="Arial" w:hAnsi="Arial" w:cs="Arial"/>
          <w:sz w:val="20"/>
          <w:szCs w:val="20"/>
          <w:lang w:val="de-CH"/>
        </w:rPr>
        <w:t xml:space="preserve"> mit dem </w:t>
      </w:r>
      <w:r w:rsidRPr="007A03AD">
        <w:rPr>
          <w:rFonts w:ascii="Arial" w:hAnsi="Arial" w:cs="Arial"/>
          <w:sz w:val="20"/>
          <w:szCs w:val="20"/>
          <w:lang w:val="de-CH"/>
        </w:rPr>
        <w:t>Beispiel der Ausschaffungsinitiative.</w:t>
      </w:r>
    </w:p>
  </w:footnote>
  <w:footnote w:id="29">
    <w:p w14:paraId="6EA63611" w14:textId="6A2985EC" w:rsidR="0022028B" w:rsidRPr="0022028B" w:rsidRDefault="0022028B">
      <w:pPr>
        <w:pStyle w:val="Funotentext"/>
        <w:rPr>
          <w:rFonts w:ascii="Arial" w:hAnsi="Arial" w:cs="Arial"/>
          <w:sz w:val="20"/>
          <w:szCs w:val="20"/>
          <w:lang w:val="de-CH"/>
        </w:rPr>
      </w:pPr>
      <w:r>
        <w:rPr>
          <w:rStyle w:val="Funotenzeichen"/>
        </w:rPr>
        <w:footnoteRef/>
      </w:r>
      <w:r>
        <w:t xml:space="preserve"> </w:t>
      </w:r>
      <w:r w:rsidR="00845DF6">
        <w:rPr>
          <w:rFonts w:ascii="Arial" w:hAnsi="Arial" w:cs="Arial"/>
          <w:sz w:val="20"/>
          <w:szCs w:val="20"/>
        </w:rPr>
        <w:t>Siehe die in der Einleitung (</w:t>
      </w:r>
      <w:proofErr w:type="spellStart"/>
      <w:r w:rsidR="00845DF6">
        <w:rPr>
          <w:rFonts w:ascii="Arial" w:hAnsi="Arial" w:cs="Arial"/>
          <w:sz w:val="20"/>
          <w:szCs w:val="20"/>
        </w:rPr>
        <w:t>Fn</w:t>
      </w:r>
      <w:proofErr w:type="spellEnd"/>
      <w:r w:rsidR="00845DF6">
        <w:rPr>
          <w:rFonts w:ascii="Arial" w:hAnsi="Arial" w:cs="Arial"/>
          <w:sz w:val="20"/>
          <w:szCs w:val="20"/>
        </w:rPr>
        <w:t xml:space="preserve"> 1 und 2) </w:t>
      </w:r>
      <w:r>
        <w:rPr>
          <w:rFonts w:ascii="Arial" w:hAnsi="Arial" w:cs="Arial"/>
          <w:sz w:val="20"/>
          <w:szCs w:val="20"/>
        </w:rPr>
        <w:t>angeführten Berichte.</w:t>
      </w:r>
    </w:p>
  </w:footnote>
  <w:footnote w:id="30">
    <w:p w14:paraId="28FD8491" w14:textId="1C0C8022" w:rsidR="0022028B" w:rsidRPr="00B1456D" w:rsidRDefault="0022028B">
      <w:pPr>
        <w:pStyle w:val="Funotentext"/>
        <w:rPr>
          <w:lang w:val="en-GB"/>
        </w:rPr>
      </w:pPr>
      <w:r>
        <w:rPr>
          <w:rStyle w:val="Funotenzeichen"/>
        </w:rPr>
        <w:footnoteRef/>
      </w:r>
      <w:r w:rsidRPr="00B1456D">
        <w:rPr>
          <w:lang w:val="en-GB"/>
        </w:rPr>
        <w:t xml:space="preserve"> </w:t>
      </w:r>
      <w:r w:rsidRPr="00B1456D">
        <w:rPr>
          <w:rFonts w:ascii="Arial" w:hAnsi="Arial" w:cs="Arial"/>
          <w:sz w:val="20"/>
          <w:szCs w:val="20"/>
          <w:lang w:val="en-GB"/>
        </w:rPr>
        <w:t>BSK BV – Epiney/Diezig, Art. 139 N 42.</w:t>
      </w:r>
    </w:p>
  </w:footnote>
  <w:footnote w:id="31">
    <w:p w14:paraId="0AC345C5" w14:textId="23AA041F" w:rsidR="006E49DD" w:rsidRPr="006E49DD" w:rsidRDefault="006E49DD">
      <w:pPr>
        <w:pStyle w:val="Funotentext"/>
        <w:rPr>
          <w:rFonts w:ascii="Arial" w:hAnsi="Arial" w:cs="Arial"/>
          <w:sz w:val="20"/>
          <w:szCs w:val="20"/>
          <w:lang w:val="de-CH"/>
        </w:rPr>
      </w:pPr>
      <w:r w:rsidRPr="006E49DD">
        <w:rPr>
          <w:rStyle w:val="Funotenzeichen"/>
          <w:rFonts w:ascii="Arial" w:hAnsi="Arial" w:cs="Arial"/>
          <w:sz w:val="20"/>
          <w:szCs w:val="20"/>
        </w:rPr>
        <w:footnoteRef/>
      </w:r>
      <w:r w:rsidRPr="006E49DD">
        <w:rPr>
          <w:rFonts w:ascii="Arial" w:hAnsi="Arial" w:cs="Arial"/>
          <w:sz w:val="20"/>
          <w:szCs w:val="20"/>
        </w:rPr>
        <w:t xml:space="preserve"> </w:t>
      </w:r>
      <w:r w:rsidRPr="006E49DD">
        <w:rPr>
          <w:rFonts w:ascii="Arial" w:hAnsi="Arial" w:cs="Arial"/>
          <w:sz w:val="20"/>
          <w:szCs w:val="20"/>
          <w:lang w:val="de-CH"/>
        </w:rPr>
        <w:t xml:space="preserve">Es sei auf die </w:t>
      </w:r>
      <w:r w:rsidR="00845DF6">
        <w:rPr>
          <w:rFonts w:ascii="Arial" w:hAnsi="Arial" w:cs="Arial"/>
          <w:sz w:val="20"/>
          <w:szCs w:val="20"/>
          <w:lang w:val="de-CH"/>
        </w:rPr>
        <w:t>„</w:t>
      </w:r>
      <w:r w:rsidRPr="006E49DD">
        <w:rPr>
          <w:rFonts w:ascii="Arial" w:hAnsi="Arial" w:cs="Arial"/>
          <w:sz w:val="20"/>
          <w:szCs w:val="20"/>
          <w:lang w:val="de-CH"/>
        </w:rPr>
        <w:t>Durchsetzungsinitiative</w:t>
      </w:r>
      <w:r w:rsidR="00845DF6">
        <w:rPr>
          <w:rFonts w:ascii="Arial" w:hAnsi="Arial" w:cs="Arial"/>
          <w:sz w:val="20"/>
          <w:szCs w:val="20"/>
          <w:lang w:val="de-CH"/>
        </w:rPr>
        <w:t>“ (</w:t>
      </w:r>
      <w:proofErr w:type="spellStart"/>
      <w:r w:rsidR="00845DF6">
        <w:rPr>
          <w:rFonts w:ascii="Arial" w:hAnsi="Arial" w:cs="Arial"/>
          <w:sz w:val="20"/>
          <w:szCs w:val="20"/>
          <w:lang w:val="de-CH"/>
        </w:rPr>
        <w:t>BBl</w:t>
      </w:r>
      <w:proofErr w:type="spellEnd"/>
      <w:r w:rsidR="00845DF6">
        <w:rPr>
          <w:rFonts w:ascii="Arial" w:hAnsi="Arial" w:cs="Arial"/>
          <w:sz w:val="20"/>
          <w:szCs w:val="20"/>
          <w:lang w:val="de-CH"/>
        </w:rPr>
        <w:t xml:space="preserve"> 2015 2701)</w:t>
      </w:r>
      <w:r w:rsidRPr="006E49DD">
        <w:rPr>
          <w:rFonts w:ascii="Arial" w:hAnsi="Arial" w:cs="Arial"/>
          <w:sz w:val="20"/>
          <w:szCs w:val="20"/>
          <w:lang w:val="de-CH"/>
        </w:rPr>
        <w:t xml:space="preserve"> und die </w:t>
      </w:r>
      <w:r w:rsidR="00845DF6">
        <w:rPr>
          <w:rFonts w:ascii="Arial" w:hAnsi="Arial" w:cs="Arial"/>
          <w:sz w:val="20"/>
          <w:szCs w:val="20"/>
          <w:lang w:val="de-CH"/>
        </w:rPr>
        <w:t>„</w:t>
      </w:r>
      <w:r w:rsidR="00D06A1C">
        <w:rPr>
          <w:rFonts w:ascii="Arial" w:hAnsi="Arial" w:cs="Arial"/>
          <w:sz w:val="20"/>
          <w:szCs w:val="20"/>
          <w:lang w:val="de-CH"/>
        </w:rPr>
        <w:t>Selbst</w:t>
      </w:r>
      <w:r w:rsidRPr="006E49DD">
        <w:rPr>
          <w:rFonts w:ascii="Arial" w:hAnsi="Arial" w:cs="Arial"/>
          <w:sz w:val="20"/>
          <w:szCs w:val="20"/>
          <w:lang w:val="de-CH"/>
        </w:rPr>
        <w:t>bestimmungsinitiative</w:t>
      </w:r>
      <w:r w:rsidR="00845DF6">
        <w:rPr>
          <w:rFonts w:ascii="Arial" w:hAnsi="Arial" w:cs="Arial"/>
          <w:sz w:val="20"/>
          <w:szCs w:val="20"/>
          <w:lang w:val="de-CH"/>
        </w:rPr>
        <w:t>“ (</w:t>
      </w:r>
      <w:proofErr w:type="spellStart"/>
      <w:r w:rsidR="00845DF6">
        <w:rPr>
          <w:rFonts w:ascii="Arial" w:hAnsi="Arial" w:cs="Arial"/>
          <w:sz w:val="20"/>
          <w:szCs w:val="20"/>
          <w:lang w:val="de-CH"/>
        </w:rPr>
        <w:t>BBl</w:t>
      </w:r>
      <w:proofErr w:type="spellEnd"/>
      <w:r w:rsidR="00845DF6">
        <w:rPr>
          <w:rFonts w:ascii="Arial" w:hAnsi="Arial" w:cs="Arial"/>
          <w:sz w:val="20"/>
          <w:szCs w:val="20"/>
          <w:lang w:val="de-CH"/>
        </w:rPr>
        <w:t xml:space="preserve"> 2015 1965)</w:t>
      </w:r>
      <w:r w:rsidRPr="006E49DD">
        <w:rPr>
          <w:rFonts w:ascii="Arial" w:hAnsi="Arial" w:cs="Arial"/>
          <w:sz w:val="20"/>
          <w:szCs w:val="20"/>
          <w:lang w:val="de-CH"/>
        </w:rPr>
        <w:t xml:space="preserve"> verwiesen.</w:t>
      </w:r>
    </w:p>
  </w:footnote>
  <w:footnote w:id="32">
    <w:p w14:paraId="40979BDC" w14:textId="7731D356" w:rsidR="007836CB" w:rsidRPr="00D778B1" w:rsidRDefault="007836CB" w:rsidP="007836CB">
      <w:pPr>
        <w:pStyle w:val="Funotentext"/>
        <w:rPr>
          <w:lang w:val="de-CH"/>
        </w:rPr>
      </w:pPr>
      <w:r w:rsidRPr="006E49DD">
        <w:rPr>
          <w:rStyle w:val="Funotenzeichen"/>
          <w:rFonts w:ascii="Arial" w:hAnsi="Arial" w:cs="Arial"/>
          <w:sz w:val="20"/>
          <w:szCs w:val="20"/>
        </w:rPr>
        <w:footnoteRef/>
      </w:r>
      <w:r w:rsidRPr="006E49DD">
        <w:rPr>
          <w:rFonts w:ascii="Arial" w:hAnsi="Arial" w:cs="Arial"/>
          <w:sz w:val="20"/>
          <w:szCs w:val="20"/>
        </w:rPr>
        <w:t xml:space="preserve"> </w:t>
      </w:r>
      <w:r w:rsidR="00DA175A">
        <w:rPr>
          <w:rFonts w:ascii="Arial" w:hAnsi="Arial" w:cs="Arial"/>
          <w:sz w:val="20"/>
          <w:szCs w:val="20"/>
        </w:rPr>
        <w:t xml:space="preserve">Siehe </w:t>
      </w:r>
      <w:r w:rsidRPr="006E49DD">
        <w:rPr>
          <w:rFonts w:ascii="Arial" w:hAnsi="Arial" w:cs="Arial"/>
          <w:sz w:val="20"/>
          <w:szCs w:val="20"/>
          <w:lang w:val="de-CH"/>
        </w:rPr>
        <w:t xml:space="preserve">BSK BV – </w:t>
      </w:r>
      <w:proofErr w:type="spellStart"/>
      <w:r w:rsidRPr="006E49DD">
        <w:rPr>
          <w:rFonts w:ascii="Arial" w:hAnsi="Arial" w:cs="Arial"/>
          <w:sz w:val="20"/>
          <w:szCs w:val="20"/>
          <w:lang w:val="de-CH"/>
        </w:rPr>
        <w:t>Epiney</w:t>
      </w:r>
      <w:proofErr w:type="spellEnd"/>
      <w:r w:rsidRPr="006E49DD">
        <w:rPr>
          <w:rFonts w:ascii="Arial" w:hAnsi="Arial" w:cs="Arial"/>
          <w:sz w:val="20"/>
          <w:szCs w:val="20"/>
          <w:lang w:val="de-CH"/>
        </w:rPr>
        <w:t>/</w:t>
      </w:r>
      <w:proofErr w:type="spellStart"/>
      <w:r w:rsidRPr="006E49DD">
        <w:rPr>
          <w:rFonts w:ascii="Arial" w:hAnsi="Arial" w:cs="Arial"/>
          <w:sz w:val="20"/>
          <w:szCs w:val="20"/>
          <w:lang w:val="de-CH"/>
        </w:rPr>
        <w:t>Diezig</w:t>
      </w:r>
      <w:proofErr w:type="spellEnd"/>
      <w:r w:rsidRPr="006E49DD">
        <w:rPr>
          <w:rFonts w:ascii="Arial" w:hAnsi="Arial" w:cs="Arial"/>
          <w:sz w:val="20"/>
          <w:szCs w:val="20"/>
          <w:lang w:val="de-CH"/>
        </w:rPr>
        <w:t xml:space="preserve"> Art. 139 N 39</w:t>
      </w:r>
      <w:r w:rsidR="0022028B">
        <w:rPr>
          <w:rFonts w:ascii="Arial" w:hAnsi="Arial" w:cs="Arial"/>
          <w:sz w:val="20"/>
          <w:szCs w:val="20"/>
          <w:lang w:val="de-CH"/>
        </w:rPr>
        <w:t xml:space="preserve"> mit </w:t>
      </w:r>
      <w:r w:rsidR="00DA175A">
        <w:rPr>
          <w:rFonts w:ascii="Arial" w:hAnsi="Arial" w:cs="Arial"/>
          <w:sz w:val="20"/>
          <w:szCs w:val="20"/>
          <w:lang w:val="de-CH"/>
        </w:rPr>
        <w:t>Hinweisen.</w:t>
      </w:r>
    </w:p>
  </w:footnote>
  <w:footnote w:id="33">
    <w:p w14:paraId="141B2C7B" w14:textId="43DABE90" w:rsidR="0022028B" w:rsidRPr="00D06A1C" w:rsidRDefault="007836CB" w:rsidP="007836CB">
      <w:pPr>
        <w:pStyle w:val="Funotentext"/>
        <w:rPr>
          <w:rFonts w:ascii="Arial" w:hAnsi="Arial" w:cs="Arial"/>
          <w:sz w:val="20"/>
          <w:szCs w:val="20"/>
          <w:lang w:val="de-CH"/>
        </w:rPr>
      </w:pPr>
      <w:r w:rsidRPr="00D06A1C">
        <w:rPr>
          <w:rStyle w:val="Funotenzeichen"/>
          <w:rFonts w:ascii="Arial" w:hAnsi="Arial" w:cs="Arial"/>
          <w:sz w:val="20"/>
          <w:szCs w:val="20"/>
        </w:rPr>
        <w:footnoteRef/>
      </w:r>
      <w:r w:rsidRPr="00D06A1C">
        <w:rPr>
          <w:rFonts w:ascii="Arial" w:hAnsi="Arial" w:cs="Arial"/>
          <w:sz w:val="20"/>
          <w:szCs w:val="20"/>
        </w:rPr>
        <w:t xml:space="preserve"> </w:t>
      </w:r>
      <w:r w:rsidRPr="00D06A1C">
        <w:rPr>
          <w:rFonts w:ascii="Arial" w:hAnsi="Arial" w:cs="Arial"/>
          <w:sz w:val="20"/>
          <w:szCs w:val="20"/>
          <w:lang w:val="de-CH"/>
        </w:rPr>
        <w:t>BSK B</w:t>
      </w:r>
      <w:r w:rsidR="0022028B">
        <w:rPr>
          <w:rFonts w:ascii="Arial" w:hAnsi="Arial" w:cs="Arial"/>
          <w:sz w:val="20"/>
          <w:szCs w:val="20"/>
          <w:lang w:val="de-CH"/>
        </w:rPr>
        <w:t xml:space="preserve">V – </w:t>
      </w:r>
      <w:proofErr w:type="spellStart"/>
      <w:r w:rsidR="0022028B">
        <w:rPr>
          <w:rFonts w:ascii="Arial" w:hAnsi="Arial" w:cs="Arial"/>
          <w:sz w:val="20"/>
          <w:szCs w:val="20"/>
          <w:lang w:val="de-CH"/>
        </w:rPr>
        <w:t>Tschannen</w:t>
      </w:r>
      <w:proofErr w:type="spellEnd"/>
      <w:r w:rsidR="0022028B">
        <w:rPr>
          <w:rFonts w:ascii="Arial" w:hAnsi="Arial" w:cs="Arial"/>
          <w:sz w:val="20"/>
          <w:szCs w:val="20"/>
          <w:lang w:val="de-CH"/>
        </w:rPr>
        <w:t>, Art. 34 N 32 mit Hinweisen.</w:t>
      </w:r>
    </w:p>
  </w:footnote>
  <w:footnote w:id="34">
    <w:p w14:paraId="7A3EA85A" w14:textId="5526C466" w:rsidR="007836CB" w:rsidRPr="00B1456D" w:rsidRDefault="007836CB" w:rsidP="007836CB">
      <w:pPr>
        <w:pStyle w:val="Funotentext"/>
        <w:rPr>
          <w:lang w:val="fr-CH"/>
        </w:rPr>
      </w:pPr>
      <w:r w:rsidRPr="00D06A1C">
        <w:rPr>
          <w:rStyle w:val="Funotenzeichen"/>
          <w:rFonts w:ascii="Arial" w:hAnsi="Arial" w:cs="Arial"/>
          <w:sz w:val="20"/>
          <w:szCs w:val="20"/>
        </w:rPr>
        <w:footnoteRef/>
      </w:r>
      <w:r w:rsidRPr="00B1456D">
        <w:rPr>
          <w:rFonts w:ascii="Arial" w:hAnsi="Arial" w:cs="Arial"/>
          <w:sz w:val="20"/>
          <w:szCs w:val="20"/>
          <w:lang w:val="fr-CH"/>
        </w:rPr>
        <w:t xml:space="preserve"> </w:t>
      </w:r>
      <w:r w:rsidRPr="00B1456D">
        <w:rPr>
          <w:rFonts w:ascii="Arial" w:hAnsi="Arial" w:cs="Arial"/>
          <w:sz w:val="20"/>
          <w:szCs w:val="20"/>
          <w:lang w:val="fr-CH"/>
        </w:rPr>
        <w:t xml:space="preserve">„Par ailleurs, l'impossibilité doit ressortir clairement du texte de l'initiative; si celle-ci peut être interprétée de telle manière que les voeux des initiants </w:t>
      </w:r>
      <w:r w:rsidR="00D06A1C" w:rsidRPr="00B1456D">
        <w:rPr>
          <w:rFonts w:ascii="Arial" w:hAnsi="Arial" w:cs="Arial"/>
          <w:sz w:val="20"/>
          <w:szCs w:val="20"/>
          <w:lang w:val="fr-CH"/>
        </w:rPr>
        <w:t xml:space="preserve">sont réalisables, elle doit être </w:t>
      </w:r>
      <w:r w:rsidRPr="00B1456D">
        <w:rPr>
          <w:rFonts w:ascii="Arial" w:hAnsi="Arial" w:cs="Arial"/>
          <w:sz w:val="20"/>
          <w:szCs w:val="20"/>
          <w:lang w:val="fr-CH"/>
        </w:rPr>
        <w:t>considérée comme valable (GRISEL, op. cit., p. 254). L'impossibilité peut être matérielle ou juridique.“</w:t>
      </w:r>
    </w:p>
  </w:footnote>
  <w:footnote w:id="35">
    <w:p w14:paraId="50CD771C" w14:textId="2466FCF7" w:rsidR="007836CB" w:rsidRPr="00B1456D" w:rsidRDefault="007836CB" w:rsidP="007836CB">
      <w:pPr>
        <w:pStyle w:val="Funotentext"/>
        <w:rPr>
          <w:rFonts w:ascii="Arial" w:hAnsi="Arial" w:cs="Arial"/>
          <w:sz w:val="20"/>
          <w:szCs w:val="20"/>
          <w:lang w:val="fr-CH"/>
        </w:rPr>
      </w:pPr>
      <w:r>
        <w:rPr>
          <w:rStyle w:val="Funotenzeichen"/>
        </w:rPr>
        <w:footnoteRef/>
      </w:r>
      <w:r w:rsidRPr="00B1456D">
        <w:rPr>
          <w:lang w:val="fr-CH"/>
        </w:rPr>
        <w:t xml:space="preserve"> </w:t>
      </w:r>
      <w:r w:rsidR="00EA453E" w:rsidRPr="00B1456D">
        <w:rPr>
          <w:rFonts w:ascii="Arial" w:hAnsi="Arial" w:cs="Arial"/>
          <w:sz w:val="20"/>
          <w:szCs w:val="20"/>
          <w:lang w:val="fr-CH"/>
        </w:rPr>
        <w:t>So B</w:t>
      </w:r>
      <w:r w:rsidRPr="00B1456D">
        <w:rPr>
          <w:rFonts w:ascii="Arial" w:hAnsi="Arial" w:cs="Arial"/>
          <w:sz w:val="20"/>
          <w:szCs w:val="20"/>
          <w:lang w:val="fr-CH"/>
        </w:rPr>
        <w:t xml:space="preserve">GE 139 I 195 E. 1.3.1. </w:t>
      </w:r>
    </w:p>
  </w:footnote>
  <w:footnote w:id="36">
    <w:p w14:paraId="58AF27DB" w14:textId="77777777" w:rsidR="002F7882" w:rsidRPr="00D9696B" w:rsidRDefault="002F7882" w:rsidP="002F7882">
      <w:pPr>
        <w:pStyle w:val="Funotentext"/>
        <w:rPr>
          <w:rFonts w:ascii="Arial" w:hAnsi="Arial" w:cs="Arial"/>
          <w:sz w:val="20"/>
          <w:szCs w:val="20"/>
          <w:lang w:val="de-CH"/>
        </w:rPr>
      </w:pPr>
      <w:r w:rsidRPr="008017C4">
        <w:rPr>
          <w:rStyle w:val="Funotenzeichen"/>
          <w:rFonts w:ascii="Arial" w:hAnsi="Arial" w:cs="Arial"/>
          <w:sz w:val="20"/>
          <w:szCs w:val="20"/>
        </w:rPr>
        <w:footnoteRef/>
      </w:r>
      <w:r w:rsidRPr="008017C4">
        <w:rPr>
          <w:rFonts w:ascii="Arial" w:hAnsi="Arial" w:cs="Arial"/>
          <w:sz w:val="20"/>
          <w:szCs w:val="20"/>
        </w:rPr>
        <w:t xml:space="preserve"> </w:t>
      </w:r>
      <w:r w:rsidRPr="008017C4">
        <w:rPr>
          <w:rFonts w:ascii="Arial" w:hAnsi="Arial" w:cs="Arial"/>
          <w:sz w:val="20"/>
          <w:szCs w:val="20"/>
          <w:lang w:val="de-CH"/>
        </w:rPr>
        <w:t>Dazu noch unten Ziff. 6.7.</w:t>
      </w:r>
    </w:p>
  </w:footnote>
  <w:footnote w:id="37">
    <w:p w14:paraId="62D266DD" w14:textId="4C61447C" w:rsidR="008017C4" w:rsidRPr="008017C4" w:rsidRDefault="007836CB" w:rsidP="007836CB">
      <w:pPr>
        <w:pStyle w:val="Funotentext"/>
        <w:rPr>
          <w:rFonts w:ascii="Arial" w:hAnsi="Arial" w:cs="Arial"/>
          <w:sz w:val="20"/>
          <w:szCs w:val="20"/>
          <w:lang w:val="de-CH"/>
        </w:rPr>
      </w:pPr>
      <w:r>
        <w:rPr>
          <w:rStyle w:val="Funotenzeichen"/>
        </w:rPr>
        <w:footnoteRef/>
      </w:r>
      <w:r>
        <w:t xml:space="preserve"> </w:t>
      </w:r>
      <w:r w:rsidRPr="008017C4">
        <w:rPr>
          <w:rFonts w:ascii="Arial" w:hAnsi="Arial" w:cs="Arial"/>
          <w:sz w:val="20"/>
          <w:szCs w:val="20"/>
          <w:lang w:val="de-CH"/>
        </w:rPr>
        <w:t>BGE 139 I 16</w:t>
      </w:r>
      <w:r w:rsidR="00631EB6">
        <w:rPr>
          <w:rFonts w:ascii="Arial" w:hAnsi="Arial" w:cs="Arial"/>
          <w:sz w:val="20"/>
          <w:szCs w:val="20"/>
          <w:lang w:val="de-CH"/>
        </w:rPr>
        <w:t xml:space="preserve"> (Umsetzung der Ausschaffungsinitiative)</w:t>
      </w:r>
      <w:r w:rsidR="00585D33">
        <w:rPr>
          <w:rFonts w:ascii="Arial" w:hAnsi="Arial" w:cs="Arial"/>
          <w:sz w:val="20"/>
          <w:szCs w:val="20"/>
          <w:lang w:val="de-CH"/>
        </w:rPr>
        <w:t>:</w:t>
      </w:r>
    </w:p>
    <w:p w14:paraId="07F0D327" w14:textId="77777777" w:rsidR="008017C4" w:rsidRPr="008017C4" w:rsidRDefault="008017C4" w:rsidP="007836CB">
      <w:pPr>
        <w:pStyle w:val="Funotentext"/>
        <w:rPr>
          <w:rFonts w:ascii="Arial" w:hAnsi="Arial" w:cs="Arial"/>
          <w:sz w:val="20"/>
          <w:szCs w:val="20"/>
        </w:rPr>
      </w:pPr>
      <w:r w:rsidRPr="008017C4">
        <w:rPr>
          <w:rFonts w:ascii="Arial" w:hAnsi="Arial" w:cs="Arial"/>
          <w:sz w:val="20"/>
          <w:szCs w:val="20"/>
          <w:lang w:val="de-CH"/>
        </w:rPr>
        <w:t>-</w:t>
      </w:r>
      <w:r w:rsidR="007836CB" w:rsidRPr="008017C4">
        <w:rPr>
          <w:rFonts w:ascii="Arial" w:hAnsi="Arial" w:cs="Arial"/>
          <w:sz w:val="20"/>
          <w:szCs w:val="20"/>
          <w:lang w:val="de-CH"/>
        </w:rPr>
        <w:t xml:space="preserve"> E. 5.1.</w:t>
      </w:r>
      <w:r w:rsidR="00F0799A" w:rsidRPr="008017C4">
        <w:rPr>
          <w:rFonts w:ascii="Arial" w:hAnsi="Arial" w:cs="Arial"/>
          <w:sz w:val="20"/>
          <w:szCs w:val="20"/>
          <w:lang w:val="de-CH"/>
        </w:rPr>
        <w:t xml:space="preserve"> in Bezug auf die Gesetzgebung</w:t>
      </w:r>
      <w:r w:rsidR="007836CB" w:rsidRPr="008017C4">
        <w:rPr>
          <w:rFonts w:ascii="Arial" w:hAnsi="Arial" w:cs="Arial"/>
          <w:sz w:val="20"/>
          <w:szCs w:val="20"/>
          <w:lang w:val="de-CH"/>
        </w:rPr>
        <w:t>, wobei die Lex-</w:t>
      </w:r>
      <w:proofErr w:type="spellStart"/>
      <w:r w:rsidR="007836CB" w:rsidRPr="008017C4">
        <w:rPr>
          <w:rFonts w:ascii="Arial" w:hAnsi="Arial" w:cs="Arial"/>
          <w:sz w:val="20"/>
          <w:szCs w:val="20"/>
          <w:lang w:val="de-CH"/>
        </w:rPr>
        <w:t>posterior</w:t>
      </w:r>
      <w:proofErr w:type="spellEnd"/>
      <w:r w:rsidR="007836CB" w:rsidRPr="008017C4">
        <w:rPr>
          <w:rFonts w:ascii="Arial" w:hAnsi="Arial" w:cs="Arial"/>
          <w:sz w:val="20"/>
          <w:szCs w:val="20"/>
          <w:lang w:val="de-CH"/>
        </w:rPr>
        <w:t xml:space="preserve">-Regel allgemein </w:t>
      </w:r>
      <w:r w:rsidR="007836CB" w:rsidRPr="008017C4">
        <w:rPr>
          <w:rFonts w:ascii="Arial" w:hAnsi="Arial" w:cs="Arial"/>
          <w:sz w:val="20"/>
          <w:szCs w:val="20"/>
        </w:rPr>
        <w:t>im Verhältnis zwischen Völker- und Landesrecht nicht zur Anwendung</w:t>
      </w:r>
      <w:r w:rsidRPr="008017C4">
        <w:rPr>
          <w:rFonts w:ascii="Arial" w:hAnsi="Arial" w:cs="Arial"/>
          <w:sz w:val="20"/>
          <w:szCs w:val="20"/>
        </w:rPr>
        <w:t xml:space="preserve"> gelangt.</w:t>
      </w:r>
    </w:p>
    <w:p w14:paraId="755F5518" w14:textId="52471D83" w:rsidR="007836CB" w:rsidRPr="008017C4" w:rsidRDefault="008017C4" w:rsidP="007836CB">
      <w:pPr>
        <w:pStyle w:val="Funotentext"/>
        <w:rPr>
          <w:rFonts w:ascii="Arial" w:hAnsi="Arial" w:cs="Arial"/>
          <w:sz w:val="20"/>
          <w:szCs w:val="20"/>
          <w:lang w:val="de-CH"/>
        </w:rPr>
      </w:pPr>
      <w:r w:rsidRPr="008017C4">
        <w:rPr>
          <w:rFonts w:ascii="Arial" w:hAnsi="Arial" w:cs="Arial"/>
          <w:sz w:val="20"/>
          <w:szCs w:val="20"/>
        </w:rPr>
        <w:t xml:space="preserve">- </w:t>
      </w:r>
      <w:r w:rsidR="00F0799A" w:rsidRPr="008017C4">
        <w:rPr>
          <w:rFonts w:ascii="Arial" w:hAnsi="Arial" w:cs="Arial"/>
          <w:sz w:val="20"/>
          <w:szCs w:val="20"/>
        </w:rPr>
        <w:t>E. 5.2. in Bezug auf eine später erlassene Verfassungsbestimmung (hier Art. 121 BV), die der EMRK widerspricht, wo das Bundesgericht festhält, den vom Verfassungsgeber zum Ausdruck gebrachten Wertungen könne insoweit Rechnung getragen werden, als dies zu keinem Widerspruch zu übergeordnetem Recht bzw. zu Konflikten mit dem Beurteilungsspielraum führt, den der EGMR den einzelnen Konventionsstaaten bei der Umsetzung ihrer Migrations- und Ausländerpolitik zugesteht. Bei einem Widerspruch geht daher die EMRK auch Enzelbestimmungen in</w:t>
      </w:r>
      <w:r w:rsidR="00585D33">
        <w:rPr>
          <w:rFonts w:ascii="Arial" w:hAnsi="Arial" w:cs="Arial"/>
          <w:sz w:val="20"/>
          <w:szCs w:val="20"/>
        </w:rPr>
        <w:t xml:space="preserve"> der Bundesverfassung stets vor.</w:t>
      </w:r>
    </w:p>
  </w:footnote>
  <w:footnote w:id="38">
    <w:p w14:paraId="7578C7C1" w14:textId="49577A3E" w:rsidR="008C054B" w:rsidRPr="008C054B" w:rsidRDefault="008C054B">
      <w:pPr>
        <w:pStyle w:val="Funotentext"/>
        <w:rPr>
          <w:lang w:val="de-CH"/>
        </w:rPr>
      </w:pPr>
      <w:r>
        <w:rPr>
          <w:rStyle w:val="Funotenzeichen"/>
        </w:rPr>
        <w:footnoteRef/>
      </w:r>
      <w:r w:rsidRPr="008C054B">
        <w:rPr>
          <w:rFonts w:ascii="Arial" w:hAnsi="Arial" w:cs="Arial"/>
          <w:sz w:val="20"/>
          <w:szCs w:val="20"/>
        </w:rPr>
        <w:t xml:space="preserve"> </w:t>
      </w:r>
      <w:r w:rsidRPr="008C054B">
        <w:rPr>
          <w:rFonts w:ascii="Arial" w:hAnsi="Arial" w:cs="Arial"/>
          <w:sz w:val="20"/>
          <w:szCs w:val="20"/>
          <w:lang w:val="de-CH"/>
        </w:rPr>
        <w:t>Siehe dazu auch</w:t>
      </w:r>
      <w:r w:rsidR="002B416E">
        <w:rPr>
          <w:rFonts w:ascii="Arial" w:hAnsi="Arial" w:cs="Arial"/>
          <w:sz w:val="20"/>
          <w:szCs w:val="20"/>
          <w:lang w:val="de-CH"/>
        </w:rPr>
        <w:t xml:space="preserve"> </w:t>
      </w:r>
      <w:proofErr w:type="spellStart"/>
      <w:r w:rsidR="002B416E">
        <w:rPr>
          <w:rFonts w:ascii="Arial" w:hAnsi="Arial" w:cs="Arial"/>
          <w:sz w:val="20"/>
          <w:szCs w:val="20"/>
          <w:lang w:val="de-CH"/>
        </w:rPr>
        <w:t>Thürer</w:t>
      </w:r>
      <w:proofErr w:type="spellEnd"/>
      <w:r w:rsidR="002B416E">
        <w:rPr>
          <w:rFonts w:ascii="Arial" w:hAnsi="Arial" w:cs="Arial"/>
          <w:sz w:val="20"/>
          <w:szCs w:val="20"/>
          <w:lang w:val="de-CH"/>
        </w:rPr>
        <w:t xml:space="preserve"> (</w:t>
      </w:r>
      <w:proofErr w:type="spellStart"/>
      <w:r>
        <w:rPr>
          <w:rFonts w:ascii="Arial" w:hAnsi="Arial" w:cs="Arial"/>
          <w:sz w:val="20"/>
          <w:szCs w:val="20"/>
          <w:lang w:val="de-CH"/>
        </w:rPr>
        <w:t>Fn</w:t>
      </w:r>
      <w:proofErr w:type="spellEnd"/>
      <w:r>
        <w:rPr>
          <w:rFonts w:ascii="Arial" w:hAnsi="Arial" w:cs="Arial"/>
          <w:sz w:val="20"/>
          <w:szCs w:val="20"/>
          <w:lang w:val="de-CH"/>
        </w:rPr>
        <w:t xml:space="preserve"> </w:t>
      </w:r>
      <w:r w:rsidR="002B416E">
        <w:rPr>
          <w:rFonts w:ascii="Arial" w:hAnsi="Arial" w:cs="Arial"/>
          <w:sz w:val="20"/>
          <w:szCs w:val="20"/>
          <w:lang w:val="de-CH"/>
        </w:rPr>
        <w:t>9), S. 441 ff.</w:t>
      </w:r>
    </w:p>
  </w:footnote>
  <w:footnote w:id="39">
    <w:p w14:paraId="21462768" w14:textId="3EA02AD8" w:rsidR="00443082" w:rsidRPr="00443082" w:rsidRDefault="00443082">
      <w:pPr>
        <w:pStyle w:val="Funotentext"/>
        <w:rPr>
          <w:rFonts w:ascii="Arial" w:hAnsi="Arial" w:cs="Arial"/>
          <w:sz w:val="20"/>
          <w:szCs w:val="20"/>
          <w:lang w:val="de-CH"/>
        </w:rPr>
      </w:pPr>
      <w:r>
        <w:rPr>
          <w:rStyle w:val="Funotenzeichen"/>
        </w:rPr>
        <w:footnoteRef/>
      </w:r>
      <w:r>
        <w:t xml:space="preserve"> </w:t>
      </w:r>
      <w:r>
        <w:rPr>
          <w:rFonts w:ascii="Arial" w:hAnsi="Arial" w:cs="Arial"/>
          <w:sz w:val="20"/>
          <w:szCs w:val="20"/>
          <w:lang w:val="de-CH"/>
        </w:rPr>
        <w:t xml:space="preserve">Das Gleiche wird für die </w:t>
      </w:r>
      <w:r w:rsidR="005D2EFF">
        <w:rPr>
          <w:rFonts w:ascii="Arial" w:hAnsi="Arial" w:cs="Arial"/>
          <w:sz w:val="20"/>
          <w:szCs w:val="20"/>
          <w:lang w:val="de-CH"/>
        </w:rPr>
        <w:t>„Selbstbestimmungsinitiative“ zu gelten haben, soweit sie in einem Zusatz zu Art. 5 Abs. 4 BV festlegen will, partikular</w:t>
      </w:r>
      <w:r w:rsidR="00EA70F0">
        <w:rPr>
          <w:rFonts w:ascii="Arial" w:hAnsi="Arial" w:cs="Arial"/>
          <w:sz w:val="20"/>
          <w:szCs w:val="20"/>
          <w:lang w:val="de-CH"/>
        </w:rPr>
        <w:t>e Verfassungsbestimmungen gingen den völkerrechtlichen Men</w:t>
      </w:r>
      <w:r w:rsidR="002B416E">
        <w:rPr>
          <w:rFonts w:ascii="Arial" w:hAnsi="Arial" w:cs="Arial"/>
          <w:sz w:val="20"/>
          <w:szCs w:val="20"/>
          <w:lang w:val="de-CH"/>
        </w:rPr>
        <w:t>schenrechtsgarantien vor. Wo diese</w:t>
      </w:r>
      <w:r w:rsidR="00EA70F0">
        <w:rPr>
          <w:rFonts w:ascii="Arial" w:hAnsi="Arial" w:cs="Arial"/>
          <w:sz w:val="20"/>
          <w:szCs w:val="20"/>
          <w:lang w:val="de-CH"/>
        </w:rPr>
        <w:t xml:space="preserve"> in Art. 190 die Geltung der EMRK für das Bundesgericht und die anderen rechtsanwendenden Behörden ausschliessen will, ist sie kontraproduktiv, solange die EMRK nicht gekündigt wird, weil so die Zuständigkeit des EGMR und damit der „fre</w:t>
      </w:r>
      <w:r w:rsidR="002B416E">
        <w:rPr>
          <w:rFonts w:ascii="Arial" w:hAnsi="Arial" w:cs="Arial"/>
          <w:sz w:val="20"/>
          <w:szCs w:val="20"/>
          <w:lang w:val="de-CH"/>
        </w:rPr>
        <w:t>mden Richter“ bestehen bleibt: d</w:t>
      </w:r>
      <w:r w:rsidR="00EA70F0">
        <w:rPr>
          <w:rFonts w:ascii="Arial" w:hAnsi="Arial" w:cs="Arial"/>
          <w:sz w:val="20"/>
          <w:szCs w:val="20"/>
          <w:lang w:val="de-CH"/>
        </w:rPr>
        <w:t>azu Giusep Nay, Die kontraproduktive Initiative, Gastkommentar auf Journal21 (mit franz Übersetzung) vom 20.03.2015 (siehe www.journal21.ch).</w:t>
      </w:r>
    </w:p>
  </w:footnote>
  <w:footnote w:id="40">
    <w:p w14:paraId="177FC752" w14:textId="5183387B" w:rsidR="00AF150B" w:rsidRPr="00647892" w:rsidRDefault="00AF150B" w:rsidP="00647892">
      <w:pPr>
        <w:pStyle w:val="Funotentext"/>
        <w:rPr>
          <w:rFonts w:ascii="Arial" w:hAnsi="Arial" w:cs="Arial"/>
          <w:sz w:val="20"/>
          <w:szCs w:val="20"/>
        </w:rPr>
      </w:pPr>
      <w:r>
        <w:rPr>
          <w:rStyle w:val="Funotenzeichen"/>
        </w:rPr>
        <w:footnoteRef/>
      </w:r>
      <w:r>
        <w:t xml:space="preserve"> </w:t>
      </w:r>
      <w:r>
        <w:rPr>
          <w:rFonts w:ascii="Arial" w:hAnsi="Arial" w:cs="Arial"/>
          <w:sz w:val="20"/>
          <w:szCs w:val="20"/>
        </w:rPr>
        <w:t xml:space="preserve">Im dazu angeführten Beispiel in BGE 128 I 63 E. 5 </w:t>
      </w:r>
      <w:r w:rsidR="00647892">
        <w:rPr>
          <w:rFonts w:ascii="Arial" w:hAnsi="Arial" w:cs="Arial"/>
          <w:sz w:val="20"/>
          <w:szCs w:val="20"/>
        </w:rPr>
        <w:t>ging es um das Recht eines</w:t>
      </w:r>
      <w:r w:rsidR="00647892" w:rsidRPr="00647892">
        <w:rPr>
          <w:rFonts w:ascii="Arial" w:hAnsi="Arial" w:cs="Arial"/>
          <w:sz w:val="20"/>
          <w:szCs w:val="20"/>
        </w:rPr>
        <w:t xml:space="preserve"> Adoptivkindes, seine leiblichen Eltern zu kennen, </w:t>
      </w:r>
      <w:r w:rsidR="00647892">
        <w:rPr>
          <w:rFonts w:ascii="Arial" w:hAnsi="Arial" w:cs="Arial"/>
          <w:sz w:val="20"/>
          <w:szCs w:val="20"/>
        </w:rPr>
        <w:t xml:space="preserve">das </w:t>
      </w:r>
      <w:r w:rsidR="00647892" w:rsidRPr="00647892">
        <w:rPr>
          <w:rFonts w:ascii="Arial" w:hAnsi="Arial" w:cs="Arial"/>
          <w:sz w:val="20"/>
          <w:szCs w:val="20"/>
        </w:rPr>
        <w:t>mit verfassungsrechtlichen Positionen Dritter, namentlich der b</w:t>
      </w:r>
      <w:r w:rsidR="00647892">
        <w:rPr>
          <w:rFonts w:ascii="Arial" w:hAnsi="Arial" w:cs="Arial"/>
          <w:sz w:val="20"/>
          <w:szCs w:val="20"/>
        </w:rPr>
        <w:t>iologischen Eltern, kollidieren könne.</w:t>
      </w:r>
    </w:p>
  </w:footnote>
  <w:footnote w:id="41">
    <w:p w14:paraId="5B3BF1F1" w14:textId="3D956673" w:rsidR="000916D3" w:rsidRPr="00B91C15" w:rsidRDefault="000916D3" w:rsidP="000916D3">
      <w:pPr>
        <w:pStyle w:val="Funotentext"/>
        <w:rPr>
          <w:lang w:val="de-CH"/>
        </w:rPr>
      </w:pPr>
      <w:r>
        <w:rPr>
          <w:rStyle w:val="Funotenzeichen"/>
        </w:rPr>
        <w:footnoteRef/>
      </w:r>
      <w:r>
        <w:t xml:space="preserve"> </w:t>
      </w:r>
      <w:r w:rsidR="00EA70F0">
        <w:rPr>
          <w:rFonts w:ascii="Arial" w:hAnsi="Arial" w:cs="Arial"/>
          <w:sz w:val="20"/>
          <w:szCs w:val="20"/>
          <w:lang w:val="de-CH"/>
        </w:rPr>
        <w:t>Ziffer 3. o</w:t>
      </w:r>
      <w:r w:rsidRPr="00B91C15">
        <w:rPr>
          <w:rFonts w:ascii="Arial" w:hAnsi="Arial" w:cs="Arial"/>
          <w:sz w:val="20"/>
          <w:szCs w:val="20"/>
          <w:lang w:val="de-CH"/>
        </w:rPr>
        <w:t>ben</w:t>
      </w:r>
      <w:r>
        <w:rPr>
          <w:rFonts w:ascii="Arial" w:hAnsi="Arial" w:cs="Arial"/>
          <w:sz w:val="20"/>
          <w:szCs w:val="20"/>
          <w:lang w:val="de-CH"/>
        </w:rPr>
        <w:t>.</w:t>
      </w:r>
    </w:p>
  </w:footnote>
  <w:footnote w:id="42">
    <w:p w14:paraId="3DABA0D1" w14:textId="7CD745BB" w:rsidR="00455B67" w:rsidRPr="00455B67" w:rsidRDefault="00455B67">
      <w:pPr>
        <w:pStyle w:val="Funotentext"/>
        <w:rPr>
          <w:lang w:val="de-CH"/>
        </w:rPr>
      </w:pPr>
      <w:r>
        <w:rPr>
          <w:rStyle w:val="Funotenzeichen"/>
        </w:rPr>
        <w:footnoteRef/>
      </w:r>
      <w:r>
        <w:t xml:space="preserve"> </w:t>
      </w:r>
      <w:r w:rsidRPr="00455B67">
        <w:rPr>
          <w:rFonts w:ascii="Arial" w:hAnsi="Arial" w:cs="Arial"/>
          <w:sz w:val="20"/>
          <w:szCs w:val="20"/>
          <w:lang w:val="de-CH"/>
        </w:rPr>
        <w:t>Zur auch</w:t>
      </w:r>
      <w:r>
        <w:rPr>
          <w:rFonts w:ascii="Arial" w:hAnsi="Arial" w:cs="Arial"/>
          <w:sz w:val="20"/>
          <w:szCs w:val="20"/>
          <w:lang w:val="de-CH"/>
        </w:rPr>
        <w:t xml:space="preserve"> zu beachtenden rechtli</w:t>
      </w:r>
      <w:r w:rsidR="00325C52">
        <w:rPr>
          <w:rFonts w:ascii="Arial" w:hAnsi="Arial" w:cs="Arial"/>
          <w:sz w:val="20"/>
          <w:szCs w:val="20"/>
          <w:lang w:val="de-CH"/>
        </w:rPr>
        <w:t>chen Undurchführbarkeit oben 6.1.</w:t>
      </w:r>
    </w:p>
  </w:footnote>
  <w:footnote w:id="43">
    <w:p w14:paraId="2B7F522A" w14:textId="554485A3" w:rsidR="00325C52" w:rsidRPr="00325C52" w:rsidRDefault="00325C52">
      <w:pPr>
        <w:pStyle w:val="Funotentext"/>
        <w:rPr>
          <w:rFonts w:ascii="Arial" w:hAnsi="Arial" w:cs="Arial"/>
          <w:sz w:val="20"/>
          <w:szCs w:val="20"/>
          <w:lang w:val="de-CH"/>
        </w:rPr>
      </w:pPr>
      <w:r>
        <w:rPr>
          <w:rStyle w:val="Funotenzeichen"/>
        </w:rPr>
        <w:footnoteRef/>
      </w:r>
      <w:r>
        <w:rPr>
          <w:rFonts w:ascii="Arial" w:hAnsi="Arial" w:cs="Arial"/>
          <w:sz w:val="20"/>
          <w:szCs w:val="20"/>
        </w:rPr>
        <w:t xml:space="preserve"> Oben</w:t>
      </w:r>
      <w:r w:rsidR="008D711A">
        <w:rPr>
          <w:rFonts w:ascii="Arial" w:hAnsi="Arial" w:cs="Arial"/>
          <w:sz w:val="20"/>
          <w:szCs w:val="20"/>
        </w:rPr>
        <w:t xml:space="preserve"> 2.1.1. Abs. 2.</w:t>
      </w:r>
    </w:p>
  </w:footnote>
  <w:footnote w:id="44">
    <w:p w14:paraId="549C8675" w14:textId="359AEAFC" w:rsidR="009F580C" w:rsidRPr="009F580C" w:rsidRDefault="009F580C">
      <w:pPr>
        <w:pStyle w:val="Funotentext"/>
        <w:rPr>
          <w:lang w:val="de-CH"/>
        </w:rPr>
      </w:pPr>
      <w:r>
        <w:rPr>
          <w:rStyle w:val="Funotenzeichen"/>
        </w:rPr>
        <w:footnoteRef/>
      </w:r>
      <w:r>
        <w:t xml:space="preserve"> D</w:t>
      </w:r>
      <w:r w:rsidRPr="00D06A1C">
        <w:rPr>
          <w:rFonts w:ascii="Arial" w:hAnsi="Arial" w:cs="Arial"/>
          <w:sz w:val="20"/>
          <w:szCs w:val="20"/>
        </w:rPr>
        <w:t xml:space="preserve">abei müsste </w:t>
      </w:r>
      <w:r w:rsidRPr="00D06A1C">
        <w:rPr>
          <w:rFonts w:ascii="Arial" w:hAnsi="Arial" w:cs="Arial"/>
          <w:sz w:val="20"/>
          <w:szCs w:val="20"/>
          <w:lang w:val="de-CH"/>
        </w:rPr>
        <w:t>auch Art. 194 Abs. 2, der die gleiche Einschrä</w:t>
      </w:r>
      <w:r>
        <w:rPr>
          <w:rFonts w:ascii="Arial" w:hAnsi="Arial" w:cs="Arial"/>
          <w:sz w:val="20"/>
          <w:szCs w:val="20"/>
          <w:lang w:val="de-CH"/>
        </w:rPr>
        <w:t>nkung wiederholt</w:t>
      </w:r>
      <w:r w:rsidRPr="00D06A1C">
        <w:rPr>
          <w:rFonts w:ascii="Arial" w:hAnsi="Arial" w:cs="Arial"/>
          <w:sz w:val="20"/>
          <w:szCs w:val="20"/>
          <w:lang w:val="de-CH"/>
        </w:rPr>
        <w:t>, entsprechend ergänzt werden.</w:t>
      </w:r>
    </w:p>
  </w:footnote>
  <w:footnote w:id="45">
    <w:p w14:paraId="65BCA0FB" w14:textId="77777777" w:rsidR="003168CA" w:rsidRPr="00D06A1C" w:rsidRDefault="003168CA" w:rsidP="003168CA">
      <w:pPr>
        <w:pStyle w:val="Funotentext"/>
        <w:rPr>
          <w:rFonts w:ascii="Arial" w:hAnsi="Arial" w:cs="Arial"/>
          <w:sz w:val="20"/>
          <w:szCs w:val="20"/>
          <w:lang w:val="de-CH"/>
        </w:rPr>
      </w:pPr>
      <w:r>
        <w:rPr>
          <w:rStyle w:val="Funotenzeichen"/>
        </w:rPr>
        <w:footnoteRef/>
      </w:r>
      <w:r>
        <w:t xml:space="preserve"> </w:t>
      </w:r>
      <w:r w:rsidRPr="00D06A1C">
        <w:rPr>
          <w:rFonts w:ascii="Arial" w:hAnsi="Arial" w:cs="Arial"/>
          <w:sz w:val="20"/>
          <w:szCs w:val="20"/>
          <w:lang w:val="de-CH"/>
        </w:rPr>
        <w:t>BGE 139 I 16 E. 4 und 5.</w:t>
      </w:r>
    </w:p>
  </w:footnote>
  <w:footnote w:id="46">
    <w:p w14:paraId="1078AE7A" w14:textId="077B7832" w:rsidR="003168CA" w:rsidRPr="00D06A1C" w:rsidRDefault="003168CA" w:rsidP="003168CA">
      <w:pPr>
        <w:pStyle w:val="Funotentext"/>
        <w:rPr>
          <w:rFonts w:ascii="Arial" w:hAnsi="Arial" w:cs="Arial"/>
          <w:sz w:val="20"/>
          <w:szCs w:val="20"/>
          <w:lang w:val="de-CH"/>
        </w:rPr>
      </w:pPr>
      <w:r w:rsidRPr="00D06A1C">
        <w:rPr>
          <w:rStyle w:val="Funotenzeichen"/>
          <w:rFonts w:ascii="Arial" w:hAnsi="Arial" w:cs="Arial"/>
          <w:sz w:val="20"/>
          <w:szCs w:val="20"/>
        </w:rPr>
        <w:footnoteRef/>
      </w:r>
      <w:r w:rsidRPr="00D06A1C">
        <w:rPr>
          <w:rFonts w:ascii="Arial" w:hAnsi="Arial" w:cs="Arial"/>
          <w:sz w:val="20"/>
          <w:szCs w:val="20"/>
        </w:rPr>
        <w:t xml:space="preserve"> </w:t>
      </w:r>
      <w:r w:rsidR="0078358D">
        <w:rPr>
          <w:rFonts w:ascii="Arial" w:hAnsi="Arial" w:cs="Arial"/>
          <w:sz w:val="20"/>
          <w:szCs w:val="20"/>
          <w:lang w:val="de-CH"/>
        </w:rPr>
        <w:t>Dazu unten 6</w:t>
      </w:r>
      <w:r w:rsidRPr="00D06A1C">
        <w:rPr>
          <w:rFonts w:ascii="Arial" w:hAnsi="Arial" w:cs="Arial"/>
          <w:sz w:val="20"/>
          <w:szCs w:val="20"/>
          <w:lang w:val="de-CH"/>
        </w:rPr>
        <w:t>.7.</w:t>
      </w:r>
    </w:p>
  </w:footnote>
  <w:footnote w:id="47">
    <w:p w14:paraId="16E07A1C" w14:textId="7FE6EB34" w:rsidR="00CD34C7" w:rsidRPr="00CD34C7" w:rsidRDefault="00CD34C7">
      <w:pPr>
        <w:pStyle w:val="Funotentext"/>
        <w:rPr>
          <w:lang w:val="de-CH"/>
        </w:rPr>
      </w:pPr>
      <w:r>
        <w:rPr>
          <w:rStyle w:val="Funotenzeichen"/>
        </w:rPr>
        <w:footnoteRef/>
      </w:r>
      <w:r>
        <w:t xml:space="preserve"> </w:t>
      </w:r>
      <w:r w:rsidRPr="008017C4">
        <w:rPr>
          <w:rFonts w:ascii="Arial" w:hAnsi="Arial" w:cs="Arial"/>
          <w:color w:val="353535"/>
          <w:sz w:val="20"/>
          <w:szCs w:val="20"/>
        </w:rPr>
        <w:t xml:space="preserve">BSK BV </w:t>
      </w:r>
      <w:proofErr w:type="spellStart"/>
      <w:r w:rsidRPr="008017C4">
        <w:rPr>
          <w:rFonts w:ascii="Arial" w:hAnsi="Arial" w:cs="Arial"/>
          <w:color w:val="353535"/>
          <w:sz w:val="20"/>
          <w:szCs w:val="20"/>
        </w:rPr>
        <w:t>Epiney</w:t>
      </w:r>
      <w:proofErr w:type="spellEnd"/>
      <w:r w:rsidRPr="008017C4">
        <w:rPr>
          <w:rFonts w:ascii="Arial" w:hAnsi="Arial" w:cs="Arial"/>
          <w:color w:val="353535"/>
          <w:sz w:val="20"/>
          <w:szCs w:val="20"/>
        </w:rPr>
        <w:t>/</w:t>
      </w:r>
      <w:proofErr w:type="spellStart"/>
      <w:r w:rsidRPr="008017C4">
        <w:rPr>
          <w:rFonts w:ascii="Arial" w:hAnsi="Arial" w:cs="Arial"/>
          <w:color w:val="353535"/>
          <w:sz w:val="20"/>
          <w:szCs w:val="20"/>
        </w:rPr>
        <w:t>Diezig</w:t>
      </w:r>
      <w:proofErr w:type="spellEnd"/>
      <w:r w:rsidRPr="008017C4">
        <w:rPr>
          <w:rFonts w:ascii="Arial" w:hAnsi="Arial" w:cs="Arial"/>
          <w:color w:val="353535"/>
          <w:sz w:val="20"/>
          <w:szCs w:val="20"/>
        </w:rPr>
        <w:t xml:space="preserve"> Art. 139 N 37 mit Hinweisen</w:t>
      </w:r>
      <w:r>
        <w:rPr>
          <w:rFonts w:ascii="Arial" w:hAnsi="Arial" w:cs="Arial"/>
          <w:color w:val="353535"/>
          <w:sz w:val="20"/>
          <w:szCs w:val="20"/>
        </w:rPr>
        <w:t>.</w:t>
      </w:r>
    </w:p>
  </w:footnote>
  <w:footnote w:id="48">
    <w:p w14:paraId="2A42159E" w14:textId="103DF745" w:rsidR="009C7B35" w:rsidRPr="009C7B35" w:rsidRDefault="009C7B35">
      <w:pPr>
        <w:pStyle w:val="Funotentext"/>
        <w:rPr>
          <w:lang w:val="de-CH"/>
        </w:rPr>
      </w:pPr>
      <w:r>
        <w:rPr>
          <w:rStyle w:val="Funotenzeichen"/>
        </w:rPr>
        <w:footnoteRef/>
      </w:r>
      <w:r>
        <w:t xml:space="preserve"> </w:t>
      </w:r>
      <w:r w:rsidRPr="00CD34C7">
        <w:rPr>
          <w:rFonts w:ascii="Arial" w:hAnsi="Arial" w:cs="Arial"/>
          <w:sz w:val="20"/>
          <w:szCs w:val="20"/>
        </w:rPr>
        <w:t xml:space="preserve">Wofür </w:t>
      </w:r>
      <w:r w:rsidRPr="00CD34C7">
        <w:rPr>
          <w:rFonts w:ascii="Arial" w:hAnsi="Arial" w:cs="Arial"/>
          <w:bCs/>
          <w:sz w:val="20"/>
          <w:szCs w:val="20"/>
        </w:rPr>
        <w:t>eine entsprechende Teilrevision der Verfassung notwendig</w:t>
      </w:r>
      <w:r>
        <w:rPr>
          <w:rFonts w:ascii="Arial" w:hAnsi="Arial" w:cs="Arial"/>
          <w:bCs/>
          <w:sz w:val="20"/>
          <w:szCs w:val="20"/>
        </w:rPr>
        <w:t xml:space="preserve"> ist. Dazu näher: Giusep Nay, Unhaltbare L</w:t>
      </w:r>
      <w:r w:rsidRPr="00CD34C7">
        <w:rPr>
          <w:rFonts w:ascii="Arial" w:hAnsi="Arial" w:cs="Arial"/>
          <w:bCs/>
          <w:sz w:val="20"/>
          <w:szCs w:val="20"/>
        </w:rPr>
        <w:t>ücken im Grundrechtsschu</w:t>
      </w:r>
      <w:r>
        <w:rPr>
          <w:rFonts w:ascii="Arial" w:hAnsi="Arial" w:cs="Arial"/>
          <w:bCs/>
          <w:sz w:val="20"/>
          <w:szCs w:val="20"/>
        </w:rPr>
        <w:t xml:space="preserve">tz, </w:t>
      </w:r>
      <w:proofErr w:type="spellStart"/>
      <w:r>
        <w:rPr>
          <w:rFonts w:ascii="Arial" w:hAnsi="Arial" w:cs="Arial"/>
          <w:bCs/>
          <w:sz w:val="20"/>
          <w:szCs w:val="20"/>
        </w:rPr>
        <w:t>plä</w:t>
      </w:r>
      <w:r w:rsidR="00315DA1">
        <w:rPr>
          <w:rFonts w:ascii="Arial" w:hAnsi="Arial" w:cs="Arial"/>
          <w:bCs/>
          <w:sz w:val="20"/>
          <w:szCs w:val="20"/>
        </w:rPr>
        <w:t>doyer</w:t>
      </w:r>
      <w:proofErr w:type="spellEnd"/>
      <w:r w:rsidR="00315DA1">
        <w:rPr>
          <w:rFonts w:ascii="Arial" w:hAnsi="Arial" w:cs="Arial"/>
          <w:bCs/>
          <w:sz w:val="20"/>
          <w:szCs w:val="20"/>
        </w:rPr>
        <w:t xml:space="preserve"> 5/08, S. 28 f.</w:t>
      </w:r>
      <w:r w:rsidRPr="00CD34C7">
        <w:rPr>
          <w:rFonts w:ascii="Arial" w:hAnsi="Arial" w:cs="Arial"/>
          <w:bCs/>
          <w:sz w:val="20"/>
          <w:szCs w:val="20"/>
        </w:rPr>
        <w:t xml:space="preserve">, wo </w:t>
      </w:r>
      <w:r w:rsidR="00315DA1">
        <w:rPr>
          <w:rFonts w:ascii="Arial" w:hAnsi="Arial" w:cs="Arial"/>
          <w:bCs/>
          <w:sz w:val="20"/>
          <w:szCs w:val="20"/>
        </w:rPr>
        <w:t xml:space="preserve">auch </w:t>
      </w:r>
      <w:r w:rsidRPr="00CD34C7">
        <w:rPr>
          <w:rFonts w:ascii="Arial" w:hAnsi="Arial" w:cs="Arial"/>
          <w:bCs/>
          <w:sz w:val="20"/>
          <w:szCs w:val="20"/>
        </w:rPr>
        <w:t xml:space="preserve">darauf hingewiesen wird, dass der mangelnde richterliche Rechtsschutz gegen verfassungswidrige Bundesgesetze aufgrund von Art. 190 BV </w:t>
      </w:r>
      <w:r>
        <w:rPr>
          <w:rFonts w:ascii="Arial" w:hAnsi="Arial" w:cs="Arial"/>
          <w:bCs/>
          <w:sz w:val="20"/>
          <w:szCs w:val="20"/>
        </w:rPr>
        <w:t xml:space="preserve">sich wegen der Verlagerung </w:t>
      </w:r>
      <w:r w:rsidR="00315DA1">
        <w:rPr>
          <w:rFonts w:ascii="Arial" w:hAnsi="Arial" w:cs="Arial"/>
          <w:bCs/>
          <w:sz w:val="20"/>
          <w:szCs w:val="20"/>
        </w:rPr>
        <w:t>vor allem ebenfalls</w:t>
      </w:r>
      <w:r w:rsidR="00170AA9">
        <w:rPr>
          <w:rFonts w:ascii="Arial" w:hAnsi="Arial" w:cs="Arial"/>
          <w:bCs/>
          <w:sz w:val="20"/>
          <w:szCs w:val="20"/>
        </w:rPr>
        <w:t xml:space="preserve"> der Gesetzgebung </w:t>
      </w:r>
      <w:r w:rsidRPr="00CD34C7">
        <w:rPr>
          <w:rFonts w:ascii="Arial" w:hAnsi="Arial" w:cs="Arial"/>
          <w:bCs/>
          <w:sz w:val="20"/>
          <w:szCs w:val="20"/>
        </w:rPr>
        <w:t xml:space="preserve">von </w:t>
      </w:r>
      <w:r w:rsidR="00315DA1">
        <w:rPr>
          <w:rFonts w:ascii="Arial" w:hAnsi="Arial" w:cs="Arial"/>
          <w:bCs/>
          <w:sz w:val="20"/>
          <w:szCs w:val="20"/>
        </w:rPr>
        <w:t xml:space="preserve">den Kantonen zum Bund </w:t>
      </w:r>
      <w:r w:rsidRPr="00CD34C7">
        <w:rPr>
          <w:rFonts w:ascii="Arial" w:hAnsi="Arial" w:cs="Arial"/>
          <w:bCs/>
          <w:sz w:val="20"/>
          <w:szCs w:val="20"/>
        </w:rPr>
        <w:t xml:space="preserve">immer als problematischer erweist, wenn der Vorrang der EMRK diese Lücke auch zu einem </w:t>
      </w:r>
      <w:proofErr w:type="spellStart"/>
      <w:r w:rsidRPr="00CD34C7">
        <w:rPr>
          <w:rFonts w:ascii="Arial" w:hAnsi="Arial" w:cs="Arial"/>
          <w:bCs/>
          <w:sz w:val="20"/>
          <w:szCs w:val="20"/>
        </w:rPr>
        <w:t>grossen</w:t>
      </w:r>
      <w:proofErr w:type="spellEnd"/>
      <w:r w:rsidRPr="00CD34C7">
        <w:rPr>
          <w:rFonts w:ascii="Arial" w:hAnsi="Arial" w:cs="Arial"/>
          <w:bCs/>
          <w:sz w:val="20"/>
          <w:szCs w:val="20"/>
        </w:rPr>
        <w:t xml:space="preserve"> Teil ausfüllt.</w:t>
      </w:r>
      <w:r>
        <w:rPr>
          <w:rFonts w:ascii="Arial" w:hAnsi="Arial" w:cs="Arial"/>
          <w:bCs/>
          <w:sz w:val="20"/>
          <w:szCs w:val="20"/>
        </w:rPr>
        <w:t xml:space="preserve"> Dieser Hinw</w:t>
      </w:r>
      <w:r w:rsidR="00315DA1">
        <w:rPr>
          <w:rFonts w:ascii="Arial" w:hAnsi="Arial" w:cs="Arial"/>
          <w:bCs/>
          <w:sz w:val="20"/>
          <w:szCs w:val="20"/>
        </w:rPr>
        <w:t xml:space="preserve">eis behält seine Bedeutung, obwohl </w:t>
      </w:r>
      <w:r>
        <w:rPr>
          <w:rFonts w:ascii="Arial" w:hAnsi="Arial" w:cs="Arial"/>
          <w:bCs/>
          <w:sz w:val="20"/>
          <w:szCs w:val="20"/>
        </w:rPr>
        <w:t>der Ständerat</w:t>
      </w:r>
      <w:r w:rsidR="00315DA1">
        <w:rPr>
          <w:rFonts w:ascii="Arial" w:hAnsi="Arial" w:cs="Arial"/>
          <w:bCs/>
          <w:sz w:val="20"/>
          <w:szCs w:val="20"/>
        </w:rPr>
        <w:t xml:space="preserve"> im Gegensatz zum Nationalrat und dann doch auch </w:t>
      </w:r>
      <w:r>
        <w:rPr>
          <w:rFonts w:ascii="Arial" w:hAnsi="Arial" w:cs="Arial"/>
          <w:bCs/>
          <w:sz w:val="20"/>
          <w:szCs w:val="20"/>
        </w:rPr>
        <w:t>die Bundesversammlung eine Streichun</w:t>
      </w:r>
      <w:r w:rsidR="00170AA9">
        <w:rPr>
          <w:rFonts w:ascii="Arial" w:hAnsi="Arial" w:cs="Arial"/>
          <w:bCs/>
          <w:sz w:val="20"/>
          <w:szCs w:val="20"/>
        </w:rPr>
        <w:t xml:space="preserve">g des Art. 190 BV ablehnte. Dieser hat </w:t>
      </w:r>
      <w:r>
        <w:rPr>
          <w:rFonts w:ascii="Arial" w:hAnsi="Arial" w:cs="Arial"/>
          <w:bCs/>
          <w:sz w:val="20"/>
          <w:szCs w:val="20"/>
        </w:rPr>
        <w:t>keine</w:t>
      </w:r>
      <w:r w:rsidR="00170AA9">
        <w:rPr>
          <w:rFonts w:ascii="Arial" w:hAnsi="Arial" w:cs="Arial"/>
          <w:bCs/>
          <w:sz w:val="20"/>
          <w:szCs w:val="20"/>
        </w:rPr>
        <w:t>n Platz in einem Rechtsstaat</w:t>
      </w:r>
      <w:r>
        <w:rPr>
          <w:rFonts w:ascii="Arial" w:hAnsi="Arial" w:cs="Arial"/>
          <w:bCs/>
          <w:sz w:val="20"/>
          <w:szCs w:val="20"/>
        </w:rPr>
        <w:t xml:space="preserve">, weil er die Judikative als oberste rechtsprechende Gewalt in unzulässiger Weise </w:t>
      </w:r>
      <w:r w:rsidR="00315DA1">
        <w:rPr>
          <w:rFonts w:ascii="Arial" w:hAnsi="Arial" w:cs="Arial"/>
          <w:bCs/>
          <w:sz w:val="20"/>
          <w:szCs w:val="20"/>
        </w:rPr>
        <w:t>in Einzelfällen daran hindert ihre Funktion wahrzunehmen</w:t>
      </w:r>
      <w:r>
        <w:rPr>
          <w:rFonts w:ascii="Arial" w:hAnsi="Arial" w:cs="Arial"/>
          <w:b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B11743"/>
    <w:multiLevelType w:val="hybridMultilevel"/>
    <w:tmpl w:val="8A7E80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02269E"/>
    <w:multiLevelType w:val="hybridMultilevel"/>
    <w:tmpl w:val="89EE0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5535076"/>
    <w:multiLevelType w:val="hybridMultilevel"/>
    <w:tmpl w:val="63B0AC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3C0187"/>
    <w:multiLevelType w:val="hybridMultilevel"/>
    <w:tmpl w:val="72AEE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3755B75"/>
    <w:multiLevelType w:val="hybridMultilevel"/>
    <w:tmpl w:val="A6883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3C"/>
    <w:rsid w:val="0000496E"/>
    <w:rsid w:val="00007E52"/>
    <w:rsid w:val="0001730B"/>
    <w:rsid w:val="00033673"/>
    <w:rsid w:val="00041B53"/>
    <w:rsid w:val="0004298E"/>
    <w:rsid w:val="00066F8A"/>
    <w:rsid w:val="000738DD"/>
    <w:rsid w:val="000916D3"/>
    <w:rsid w:val="000C5257"/>
    <w:rsid w:val="00116EE5"/>
    <w:rsid w:val="00120FE5"/>
    <w:rsid w:val="00141F0B"/>
    <w:rsid w:val="001521D0"/>
    <w:rsid w:val="001535FF"/>
    <w:rsid w:val="00170AA9"/>
    <w:rsid w:val="0017351C"/>
    <w:rsid w:val="00176E9D"/>
    <w:rsid w:val="001B7FC1"/>
    <w:rsid w:val="001C26D0"/>
    <w:rsid w:val="001C2856"/>
    <w:rsid w:val="001D19FC"/>
    <w:rsid w:val="001D70F2"/>
    <w:rsid w:val="001E6C2D"/>
    <w:rsid w:val="001F06C0"/>
    <w:rsid w:val="001F3597"/>
    <w:rsid w:val="0022028B"/>
    <w:rsid w:val="00227F88"/>
    <w:rsid w:val="00232D9E"/>
    <w:rsid w:val="00257DEF"/>
    <w:rsid w:val="00261CC7"/>
    <w:rsid w:val="002726BE"/>
    <w:rsid w:val="002777A6"/>
    <w:rsid w:val="00280422"/>
    <w:rsid w:val="0028751A"/>
    <w:rsid w:val="00293043"/>
    <w:rsid w:val="002A522F"/>
    <w:rsid w:val="002B416E"/>
    <w:rsid w:val="002F7882"/>
    <w:rsid w:val="0030256C"/>
    <w:rsid w:val="003057A5"/>
    <w:rsid w:val="00315DA1"/>
    <w:rsid w:val="003168CA"/>
    <w:rsid w:val="00325C52"/>
    <w:rsid w:val="00345C03"/>
    <w:rsid w:val="003619AD"/>
    <w:rsid w:val="00387755"/>
    <w:rsid w:val="00394B04"/>
    <w:rsid w:val="003B7453"/>
    <w:rsid w:val="003D1805"/>
    <w:rsid w:val="003E11FF"/>
    <w:rsid w:val="003E17B6"/>
    <w:rsid w:val="00431B73"/>
    <w:rsid w:val="00437F41"/>
    <w:rsid w:val="00443082"/>
    <w:rsid w:val="00450239"/>
    <w:rsid w:val="00455B67"/>
    <w:rsid w:val="00460D82"/>
    <w:rsid w:val="00465D69"/>
    <w:rsid w:val="00491B28"/>
    <w:rsid w:val="00496803"/>
    <w:rsid w:val="004A4958"/>
    <w:rsid w:val="004A5D7C"/>
    <w:rsid w:val="004B61C4"/>
    <w:rsid w:val="004E4505"/>
    <w:rsid w:val="004E70D7"/>
    <w:rsid w:val="00501607"/>
    <w:rsid w:val="00522155"/>
    <w:rsid w:val="00522263"/>
    <w:rsid w:val="00543352"/>
    <w:rsid w:val="005521DA"/>
    <w:rsid w:val="00552A05"/>
    <w:rsid w:val="0055578D"/>
    <w:rsid w:val="00574159"/>
    <w:rsid w:val="00585D33"/>
    <w:rsid w:val="00593827"/>
    <w:rsid w:val="005D1210"/>
    <w:rsid w:val="005D2EFF"/>
    <w:rsid w:val="005F28F1"/>
    <w:rsid w:val="00600B46"/>
    <w:rsid w:val="00615BCB"/>
    <w:rsid w:val="006235EF"/>
    <w:rsid w:val="00631EB6"/>
    <w:rsid w:val="00644C8F"/>
    <w:rsid w:val="00647892"/>
    <w:rsid w:val="00653B32"/>
    <w:rsid w:val="006A08E7"/>
    <w:rsid w:val="006D6E33"/>
    <w:rsid w:val="006E49DD"/>
    <w:rsid w:val="006E4DA6"/>
    <w:rsid w:val="00702764"/>
    <w:rsid w:val="0073364C"/>
    <w:rsid w:val="00736200"/>
    <w:rsid w:val="0073726E"/>
    <w:rsid w:val="007416CC"/>
    <w:rsid w:val="00742DE7"/>
    <w:rsid w:val="007500F2"/>
    <w:rsid w:val="00752ECF"/>
    <w:rsid w:val="00754C0C"/>
    <w:rsid w:val="0076434A"/>
    <w:rsid w:val="0078358D"/>
    <w:rsid w:val="007836CB"/>
    <w:rsid w:val="007A03AD"/>
    <w:rsid w:val="007A2E98"/>
    <w:rsid w:val="007A554E"/>
    <w:rsid w:val="007D4C2C"/>
    <w:rsid w:val="00800390"/>
    <w:rsid w:val="008017C4"/>
    <w:rsid w:val="00802E20"/>
    <w:rsid w:val="00811D00"/>
    <w:rsid w:val="00834D35"/>
    <w:rsid w:val="00835BF2"/>
    <w:rsid w:val="00845DF6"/>
    <w:rsid w:val="00856CDD"/>
    <w:rsid w:val="008658AA"/>
    <w:rsid w:val="008975AA"/>
    <w:rsid w:val="008A1028"/>
    <w:rsid w:val="008C054B"/>
    <w:rsid w:val="008D711A"/>
    <w:rsid w:val="008E2B3B"/>
    <w:rsid w:val="0090601F"/>
    <w:rsid w:val="0093432E"/>
    <w:rsid w:val="00935AF8"/>
    <w:rsid w:val="00941779"/>
    <w:rsid w:val="00942AC3"/>
    <w:rsid w:val="0095480F"/>
    <w:rsid w:val="00973230"/>
    <w:rsid w:val="00991DFB"/>
    <w:rsid w:val="009B3575"/>
    <w:rsid w:val="009B65A3"/>
    <w:rsid w:val="009C7B35"/>
    <w:rsid w:val="009D5E56"/>
    <w:rsid w:val="009F580C"/>
    <w:rsid w:val="00A17A55"/>
    <w:rsid w:val="00A35C80"/>
    <w:rsid w:val="00A441AB"/>
    <w:rsid w:val="00A83B66"/>
    <w:rsid w:val="00A9105D"/>
    <w:rsid w:val="00A94F58"/>
    <w:rsid w:val="00AA1A30"/>
    <w:rsid w:val="00AB6AFB"/>
    <w:rsid w:val="00AC2192"/>
    <w:rsid w:val="00AE7743"/>
    <w:rsid w:val="00AF150B"/>
    <w:rsid w:val="00B063A9"/>
    <w:rsid w:val="00B1110D"/>
    <w:rsid w:val="00B1456D"/>
    <w:rsid w:val="00B35513"/>
    <w:rsid w:val="00B52862"/>
    <w:rsid w:val="00B742C5"/>
    <w:rsid w:val="00B75EEB"/>
    <w:rsid w:val="00B8433C"/>
    <w:rsid w:val="00B91C15"/>
    <w:rsid w:val="00BA2844"/>
    <w:rsid w:val="00BB0D59"/>
    <w:rsid w:val="00BD0068"/>
    <w:rsid w:val="00BD55E9"/>
    <w:rsid w:val="00BD59F0"/>
    <w:rsid w:val="00BF78FD"/>
    <w:rsid w:val="00C10825"/>
    <w:rsid w:val="00C21DD8"/>
    <w:rsid w:val="00C24E93"/>
    <w:rsid w:val="00C26F93"/>
    <w:rsid w:val="00C3173D"/>
    <w:rsid w:val="00C4147D"/>
    <w:rsid w:val="00C50D0D"/>
    <w:rsid w:val="00C824E3"/>
    <w:rsid w:val="00CC4496"/>
    <w:rsid w:val="00CC7BA4"/>
    <w:rsid w:val="00CC7E1F"/>
    <w:rsid w:val="00CD34C7"/>
    <w:rsid w:val="00CE7B6C"/>
    <w:rsid w:val="00D06A1C"/>
    <w:rsid w:val="00D302AD"/>
    <w:rsid w:val="00D46BC9"/>
    <w:rsid w:val="00D508A0"/>
    <w:rsid w:val="00D65EE8"/>
    <w:rsid w:val="00D866A2"/>
    <w:rsid w:val="00D93CE4"/>
    <w:rsid w:val="00D9696B"/>
    <w:rsid w:val="00D97A61"/>
    <w:rsid w:val="00DA175A"/>
    <w:rsid w:val="00DC3BEA"/>
    <w:rsid w:val="00DE0136"/>
    <w:rsid w:val="00DE1A68"/>
    <w:rsid w:val="00DE4CA8"/>
    <w:rsid w:val="00DE7051"/>
    <w:rsid w:val="00E26389"/>
    <w:rsid w:val="00E31558"/>
    <w:rsid w:val="00E31660"/>
    <w:rsid w:val="00E35865"/>
    <w:rsid w:val="00E42F35"/>
    <w:rsid w:val="00E75772"/>
    <w:rsid w:val="00EA453E"/>
    <w:rsid w:val="00EA70F0"/>
    <w:rsid w:val="00EB4163"/>
    <w:rsid w:val="00EB65CC"/>
    <w:rsid w:val="00EB7410"/>
    <w:rsid w:val="00EC1198"/>
    <w:rsid w:val="00EC2366"/>
    <w:rsid w:val="00ED1527"/>
    <w:rsid w:val="00ED29A6"/>
    <w:rsid w:val="00ED2E8A"/>
    <w:rsid w:val="00F0799A"/>
    <w:rsid w:val="00F11ED5"/>
    <w:rsid w:val="00F52E27"/>
    <w:rsid w:val="00F549F0"/>
    <w:rsid w:val="00F638A9"/>
    <w:rsid w:val="00F643CA"/>
    <w:rsid w:val="00FB0BF8"/>
    <w:rsid w:val="00FB3400"/>
    <w:rsid w:val="00FB52A2"/>
    <w:rsid w:val="00FC46C5"/>
    <w:rsid w:val="00FD2DCB"/>
    <w:rsid w:val="00FD6CEB"/>
    <w:rsid w:val="00FE7655"/>
    <w:rsid w:val="00FE7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B1110D"/>
  </w:style>
  <w:style w:type="character" w:customStyle="1" w:styleId="FunotentextZchn">
    <w:name w:val="Fußnotentext Zchn"/>
    <w:basedOn w:val="Absatz-Standardschriftart"/>
    <w:link w:val="Funotentext"/>
    <w:uiPriority w:val="99"/>
    <w:rsid w:val="00B1110D"/>
  </w:style>
  <w:style w:type="character" w:styleId="Funotenzeichen">
    <w:name w:val="footnote reference"/>
    <w:basedOn w:val="Absatz-Standardschriftart"/>
    <w:uiPriority w:val="99"/>
    <w:unhideWhenUsed/>
    <w:rsid w:val="00B1110D"/>
    <w:rPr>
      <w:vertAlign w:val="superscript"/>
    </w:rPr>
  </w:style>
  <w:style w:type="paragraph" w:styleId="Endnotentext">
    <w:name w:val="endnote text"/>
    <w:basedOn w:val="Standard"/>
    <w:link w:val="EndnotentextZchn"/>
    <w:uiPriority w:val="99"/>
    <w:unhideWhenUsed/>
    <w:rsid w:val="009B3575"/>
    <w:rPr>
      <w:rFonts w:eastAsiaTheme="minorEastAsia"/>
      <w:lang w:eastAsia="de-DE"/>
    </w:rPr>
  </w:style>
  <w:style w:type="character" w:customStyle="1" w:styleId="EndnotentextZchn">
    <w:name w:val="Endnotentext Zchn"/>
    <w:basedOn w:val="Absatz-Standardschriftart"/>
    <w:link w:val="Endnotentext"/>
    <w:uiPriority w:val="99"/>
    <w:rsid w:val="009B3575"/>
    <w:rPr>
      <w:rFonts w:eastAsiaTheme="minorEastAsia"/>
      <w:lang w:eastAsia="de-DE"/>
    </w:rPr>
  </w:style>
  <w:style w:type="character" w:styleId="Endnotenzeichen">
    <w:name w:val="endnote reference"/>
    <w:basedOn w:val="Absatz-Standardschriftart"/>
    <w:uiPriority w:val="99"/>
    <w:unhideWhenUsed/>
    <w:rsid w:val="009B3575"/>
    <w:rPr>
      <w:vertAlign w:val="superscript"/>
    </w:rPr>
  </w:style>
  <w:style w:type="paragraph" w:styleId="Listenabsatz">
    <w:name w:val="List Paragraph"/>
    <w:basedOn w:val="Standard"/>
    <w:uiPriority w:val="34"/>
    <w:qFormat/>
    <w:rsid w:val="001E6C2D"/>
    <w:pPr>
      <w:ind w:left="720"/>
      <w:contextualSpacing/>
    </w:pPr>
  </w:style>
  <w:style w:type="character" w:styleId="Hyperlink">
    <w:name w:val="Hyperlink"/>
    <w:basedOn w:val="Absatz-Standardschriftart"/>
    <w:uiPriority w:val="99"/>
    <w:unhideWhenUsed/>
    <w:rsid w:val="00BD59F0"/>
    <w:rPr>
      <w:color w:val="0563C1" w:themeColor="hyperlink"/>
      <w:u w:val="single"/>
    </w:rPr>
  </w:style>
  <w:style w:type="character" w:styleId="BesuchterHyperlink">
    <w:name w:val="FollowedHyperlink"/>
    <w:basedOn w:val="Absatz-Standardschriftart"/>
    <w:uiPriority w:val="99"/>
    <w:semiHidden/>
    <w:unhideWhenUsed/>
    <w:rsid w:val="00AF150B"/>
    <w:rPr>
      <w:color w:val="954F72" w:themeColor="followedHyperlink"/>
      <w:u w:val="single"/>
    </w:rPr>
  </w:style>
  <w:style w:type="paragraph" w:styleId="Kopfzeile">
    <w:name w:val="header"/>
    <w:basedOn w:val="Standard"/>
    <w:link w:val="KopfzeileZchn"/>
    <w:uiPriority w:val="99"/>
    <w:unhideWhenUsed/>
    <w:rsid w:val="00501607"/>
    <w:pPr>
      <w:tabs>
        <w:tab w:val="center" w:pos="4536"/>
        <w:tab w:val="right" w:pos="9072"/>
      </w:tabs>
    </w:pPr>
  </w:style>
  <w:style w:type="character" w:customStyle="1" w:styleId="KopfzeileZchn">
    <w:name w:val="Kopfzeile Zchn"/>
    <w:basedOn w:val="Absatz-Standardschriftart"/>
    <w:link w:val="Kopfzeile"/>
    <w:uiPriority w:val="99"/>
    <w:rsid w:val="00501607"/>
  </w:style>
  <w:style w:type="paragraph" w:styleId="Fuzeile">
    <w:name w:val="footer"/>
    <w:basedOn w:val="Standard"/>
    <w:link w:val="FuzeileZchn"/>
    <w:uiPriority w:val="99"/>
    <w:unhideWhenUsed/>
    <w:rsid w:val="00501607"/>
    <w:pPr>
      <w:tabs>
        <w:tab w:val="center" w:pos="4536"/>
        <w:tab w:val="right" w:pos="9072"/>
      </w:tabs>
    </w:pPr>
  </w:style>
  <w:style w:type="character" w:customStyle="1" w:styleId="FuzeileZchn">
    <w:name w:val="Fußzeile Zchn"/>
    <w:basedOn w:val="Absatz-Standardschriftart"/>
    <w:link w:val="Fuzeile"/>
    <w:uiPriority w:val="99"/>
    <w:rsid w:val="00501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B1110D"/>
  </w:style>
  <w:style w:type="character" w:customStyle="1" w:styleId="FunotentextZchn">
    <w:name w:val="Fußnotentext Zchn"/>
    <w:basedOn w:val="Absatz-Standardschriftart"/>
    <w:link w:val="Funotentext"/>
    <w:uiPriority w:val="99"/>
    <w:rsid w:val="00B1110D"/>
  </w:style>
  <w:style w:type="character" w:styleId="Funotenzeichen">
    <w:name w:val="footnote reference"/>
    <w:basedOn w:val="Absatz-Standardschriftart"/>
    <w:uiPriority w:val="99"/>
    <w:unhideWhenUsed/>
    <w:rsid w:val="00B1110D"/>
    <w:rPr>
      <w:vertAlign w:val="superscript"/>
    </w:rPr>
  </w:style>
  <w:style w:type="paragraph" w:styleId="Endnotentext">
    <w:name w:val="endnote text"/>
    <w:basedOn w:val="Standard"/>
    <w:link w:val="EndnotentextZchn"/>
    <w:uiPriority w:val="99"/>
    <w:unhideWhenUsed/>
    <w:rsid w:val="009B3575"/>
    <w:rPr>
      <w:rFonts w:eastAsiaTheme="minorEastAsia"/>
      <w:lang w:eastAsia="de-DE"/>
    </w:rPr>
  </w:style>
  <w:style w:type="character" w:customStyle="1" w:styleId="EndnotentextZchn">
    <w:name w:val="Endnotentext Zchn"/>
    <w:basedOn w:val="Absatz-Standardschriftart"/>
    <w:link w:val="Endnotentext"/>
    <w:uiPriority w:val="99"/>
    <w:rsid w:val="009B3575"/>
    <w:rPr>
      <w:rFonts w:eastAsiaTheme="minorEastAsia"/>
      <w:lang w:eastAsia="de-DE"/>
    </w:rPr>
  </w:style>
  <w:style w:type="character" w:styleId="Endnotenzeichen">
    <w:name w:val="endnote reference"/>
    <w:basedOn w:val="Absatz-Standardschriftart"/>
    <w:uiPriority w:val="99"/>
    <w:unhideWhenUsed/>
    <w:rsid w:val="009B3575"/>
    <w:rPr>
      <w:vertAlign w:val="superscript"/>
    </w:rPr>
  </w:style>
  <w:style w:type="paragraph" w:styleId="Listenabsatz">
    <w:name w:val="List Paragraph"/>
    <w:basedOn w:val="Standard"/>
    <w:uiPriority w:val="34"/>
    <w:qFormat/>
    <w:rsid w:val="001E6C2D"/>
    <w:pPr>
      <w:ind w:left="720"/>
      <w:contextualSpacing/>
    </w:pPr>
  </w:style>
  <w:style w:type="character" w:styleId="Hyperlink">
    <w:name w:val="Hyperlink"/>
    <w:basedOn w:val="Absatz-Standardschriftart"/>
    <w:uiPriority w:val="99"/>
    <w:unhideWhenUsed/>
    <w:rsid w:val="00BD59F0"/>
    <w:rPr>
      <w:color w:val="0563C1" w:themeColor="hyperlink"/>
      <w:u w:val="single"/>
    </w:rPr>
  </w:style>
  <w:style w:type="character" w:styleId="BesuchterHyperlink">
    <w:name w:val="FollowedHyperlink"/>
    <w:basedOn w:val="Absatz-Standardschriftart"/>
    <w:uiPriority w:val="99"/>
    <w:semiHidden/>
    <w:unhideWhenUsed/>
    <w:rsid w:val="00AF150B"/>
    <w:rPr>
      <w:color w:val="954F72" w:themeColor="followedHyperlink"/>
      <w:u w:val="single"/>
    </w:rPr>
  </w:style>
  <w:style w:type="paragraph" w:styleId="Kopfzeile">
    <w:name w:val="header"/>
    <w:basedOn w:val="Standard"/>
    <w:link w:val="KopfzeileZchn"/>
    <w:uiPriority w:val="99"/>
    <w:unhideWhenUsed/>
    <w:rsid w:val="00501607"/>
    <w:pPr>
      <w:tabs>
        <w:tab w:val="center" w:pos="4536"/>
        <w:tab w:val="right" w:pos="9072"/>
      </w:tabs>
    </w:pPr>
  </w:style>
  <w:style w:type="character" w:customStyle="1" w:styleId="KopfzeileZchn">
    <w:name w:val="Kopfzeile Zchn"/>
    <w:basedOn w:val="Absatz-Standardschriftart"/>
    <w:link w:val="Kopfzeile"/>
    <w:uiPriority w:val="99"/>
    <w:rsid w:val="00501607"/>
  </w:style>
  <w:style w:type="paragraph" w:styleId="Fuzeile">
    <w:name w:val="footer"/>
    <w:basedOn w:val="Standard"/>
    <w:link w:val="FuzeileZchn"/>
    <w:uiPriority w:val="99"/>
    <w:unhideWhenUsed/>
    <w:rsid w:val="00501607"/>
    <w:pPr>
      <w:tabs>
        <w:tab w:val="center" w:pos="4536"/>
        <w:tab w:val="right" w:pos="9072"/>
      </w:tabs>
    </w:pPr>
  </w:style>
  <w:style w:type="character" w:customStyle="1" w:styleId="FuzeileZchn">
    <w:name w:val="Fußzeile Zchn"/>
    <w:basedOn w:val="Absatz-Standardschriftart"/>
    <w:link w:val="Fuzeile"/>
    <w:uiPriority w:val="99"/>
    <w:rsid w:val="0050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6054</Words>
  <Characters>38143</Characters>
  <Application>Microsoft Office Word</Application>
  <DocSecurity>0</DocSecurity>
  <Lines>317</Lines>
  <Paragraphs>88</Paragraphs>
  <ScaleCrop>false</ScaleCrop>
  <HeadingPairs>
    <vt:vector size="4" baseType="variant">
      <vt:variant>
        <vt:lpstr>Titel</vt:lpstr>
      </vt:variant>
      <vt:variant>
        <vt:i4>1</vt:i4>
      </vt:variant>
      <vt:variant>
        <vt:lpstr>Headings</vt:lpstr>
      </vt:variant>
      <vt:variant>
        <vt:i4>16</vt:i4>
      </vt:variant>
    </vt:vector>
  </HeadingPairs>
  <TitlesOfParts>
    <vt:vector size="17" baseType="lpstr">
      <vt:lpstr/>
      <vt:lpstr>Giusep Nay</vt:lpstr>
      <vt:lpstr>2. Die geltenden materiellen Ungültigkeitsgründe</vt:lpstr>
      <vt:lpstr>2.1. Zwingendes Völkerrecht </vt:lpstr>
      <vt:lpstr>2.1.1. Ursprüngliche Absicht</vt:lpstr>
      <vt:lpstr>2.1.2. Tatsächliche Praxis</vt:lpstr>
      <vt:lpstr>2.2. Undurchführbarkeit</vt:lpstr>
      <vt:lpstr/>
      <vt:lpstr>3. Unhaltbare Abweichung von der ursprünglichen Absicht des Verfassungsgebers</vt:lpstr>
      <vt:lpstr/>
      <vt:lpstr>1. Einleitung</vt:lpstr>
      <vt:lpstr>2. Die geltenden materiellen Ungültigkeitsgründe</vt:lpstr>
      <vt:lpstr>2.1. Zwingendes Völkerrecht </vt:lpstr>
      <vt:lpstr>2.1.1. Ursprüngliche Absicht</vt:lpstr>
      <vt:lpstr>2.1.2. Tatsächliche Praxis</vt:lpstr>
      <vt:lpstr>2.2. Undurchführbarkeit</vt:lpstr>
      <vt:lpstr>3. Unhaltbare Abweichung von der ursprünglichen Absicht des Verfassungsgebers</vt:lpstr>
    </vt:vector>
  </TitlesOfParts>
  <Company>Hewlett-Packard Company</Company>
  <LinksUpToDate>false</LinksUpToDate>
  <CharactersWithSpaces>44109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 Nay</dc:creator>
  <cp:lastModifiedBy>privat</cp:lastModifiedBy>
  <cp:revision>2</cp:revision>
  <cp:lastPrinted>2015-10-21T18:53:00Z</cp:lastPrinted>
  <dcterms:created xsi:type="dcterms:W3CDTF">2016-10-07T11:50:00Z</dcterms:created>
  <dcterms:modified xsi:type="dcterms:W3CDTF">2016-10-07T11:50:00Z</dcterms:modified>
</cp:coreProperties>
</file>